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2F45C" w14:textId="77777777" w:rsidR="00130FA5" w:rsidRPr="00FB70BF" w:rsidRDefault="00000000" w:rsidP="00FB70BF">
      <w:pPr>
        <w:pStyle w:val="BodyText"/>
        <w:ind w:left="119"/>
      </w:pPr>
      <w:r w:rsidRPr="00FB70BF">
        <w:rPr>
          <w:noProof/>
        </w:rPr>
        <w:drawing>
          <wp:inline distT="0" distB="0" distL="0" distR="0" wp14:anchorId="199D9FAC" wp14:editId="1606BD11">
            <wp:extent cx="1867773" cy="390144"/>
            <wp:effectExtent l="0" t="0" r="0" b="0"/>
            <wp:docPr id="2" name="Image 2" descr="UO Logo in green fo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UO Logo in green font"/>
                    <pic:cNvPicPr/>
                  </pic:nvPicPr>
                  <pic:blipFill>
                    <a:blip r:embed="rId7" cstate="print"/>
                    <a:stretch>
                      <a:fillRect/>
                    </a:stretch>
                  </pic:blipFill>
                  <pic:spPr>
                    <a:xfrm>
                      <a:off x="0" y="0"/>
                      <a:ext cx="1867773" cy="390144"/>
                    </a:xfrm>
                    <a:prstGeom prst="rect">
                      <a:avLst/>
                    </a:prstGeom>
                  </pic:spPr>
                </pic:pic>
              </a:graphicData>
            </a:graphic>
          </wp:inline>
        </w:drawing>
      </w:r>
    </w:p>
    <w:p w14:paraId="4E6536A0" w14:textId="77777777" w:rsidR="00130FA5" w:rsidRPr="00FB70BF" w:rsidRDefault="00130FA5" w:rsidP="00FB70BF">
      <w:pPr>
        <w:pStyle w:val="BodyText"/>
      </w:pPr>
    </w:p>
    <w:p w14:paraId="1BED83B9" w14:textId="77777777" w:rsidR="00130FA5" w:rsidRPr="00FB70BF" w:rsidRDefault="00130FA5" w:rsidP="00FB70BF">
      <w:pPr>
        <w:pStyle w:val="BodyText"/>
      </w:pPr>
    </w:p>
    <w:p w14:paraId="01E323C2" w14:textId="77777777" w:rsidR="00130FA5" w:rsidRPr="00FB70BF" w:rsidRDefault="00130FA5" w:rsidP="00FB70BF">
      <w:pPr>
        <w:pStyle w:val="BodyText"/>
      </w:pPr>
    </w:p>
    <w:p w14:paraId="01DF6AE6" w14:textId="77777777" w:rsidR="00130FA5" w:rsidRPr="00FB70BF" w:rsidRDefault="00130FA5" w:rsidP="00FB70BF">
      <w:pPr>
        <w:pStyle w:val="BodyText"/>
        <w:spacing w:before="3"/>
      </w:pPr>
    </w:p>
    <w:p w14:paraId="7314AD7B" w14:textId="77777777" w:rsidR="00130FA5" w:rsidRPr="00FB70BF" w:rsidRDefault="00000000" w:rsidP="00FB70BF">
      <w:pPr>
        <w:pStyle w:val="Heading1"/>
      </w:pPr>
      <w:r w:rsidRPr="00FB70BF">
        <w:t>Memorandum</w:t>
      </w:r>
    </w:p>
    <w:p w14:paraId="7B5033CC" w14:textId="77777777" w:rsidR="00130FA5" w:rsidRPr="00FB70BF" w:rsidRDefault="00130FA5" w:rsidP="00FB70BF">
      <w:pPr>
        <w:pStyle w:val="BodyText"/>
        <w:spacing w:before="8"/>
      </w:pPr>
    </w:p>
    <w:p w14:paraId="4EE015DD" w14:textId="77777777" w:rsidR="00130FA5" w:rsidRPr="00FB70BF" w:rsidRDefault="00000000" w:rsidP="00FB70BF">
      <w:pPr>
        <w:pStyle w:val="BodyText"/>
        <w:tabs>
          <w:tab w:val="left" w:pos="1779"/>
        </w:tabs>
        <w:ind w:left="1060"/>
      </w:pPr>
      <w:r w:rsidRPr="00FB70BF">
        <w:t>Date:</w:t>
      </w:r>
      <w:r w:rsidRPr="00FB70BF">
        <w:tab/>
        <w:t>April 2, 2024</w:t>
      </w:r>
    </w:p>
    <w:p w14:paraId="05B3A9C3" w14:textId="77777777" w:rsidR="00130FA5" w:rsidRPr="00FB70BF" w:rsidRDefault="00130FA5" w:rsidP="00FB70BF">
      <w:pPr>
        <w:pStyle w:val="BodyText"/>
        <w:spacing w:before="1"/>
      </w:pPr>
    </w:p>
    <w:p w14:paraId="58845596" w14:textId="11C0BB89" w:rsidR="00130FA5" w:rsidRPr="00FB70BF" w:rsidRDefault="00000000" w:rsidP="00FB70BF">
      <w:pPr>
        <w:pStyle w:val="BodyText"/>
        <w:tabs>
          <w:tab w:val="left" w:pos="1779"/>
        </w:tabs>
        <w:ind w:left="1059"/>
      </w:pPr>
      <w:r w:rsidRPr="00FB70BF">
        <w:t>To:</w:t>
      </w:r>
      <w:r w:rsidRPr="00FB70BF">
        <w:tab/>
        <w:t>Research Community Leadership</w:t>
      </w:r>
    </w:p>
    <w:p w14:paraId="67D43AB9" w14:textId="77777777" w:rsidR="00130FA5" w:rsidRPr="00FB70BF" w:rsidRDefault="00130FA5" w:rsidP="00FB70BF">
      <w:pPr>
        <w:pStyle w:val="BodyText"/>
        <w:spacing w:before="10"/>
      </w:pPr>
    </w:p>
    <w:p w14:paraId="38CE25DD" w14:textId="48F149DE" w:rsidR="00FB70BF" w:rsidRPr="00FB70BF" w:rsidRDefault="00000000" w:rsidP="00FB70BF">
      <w:pPr>
        <w:pStyle w:val="BodyText"/>
        <w:tabs>
          <w:tab w:val="left" w:pos="1777"/>
        </w:tabs>
        <w:spacing w:line="489" w:lineRule="auto"/>
        <w:ind w:left="1060" w:right="2487" w:hanging="1"/>
      </w:pPr>
      <w:r w:rsidRPr="00FB70BF">
        <w:t xml:space="preserve">From: Anshuman “AR” Razdan, Vice President for Research and Innovation </w:t>
      </w:r>
      <w:r w:rsidR="00FB70BF" w:rsidRPr="00FB70BF">
        <w:rPr>
          <w:noProof/>
        </w:rPr>
        <w:drawing>
          <wp:inline distT="0" distB="0" distL="0" distR="0" wp14:anchorId="6BABA2E3" wp14:editId="43D9E339">
            <wp:extent cx="1382369" cy="579213"/>
            <wp:effectExtent l="0" t="0" r="2540" b="5080"/>
            <wp:docPr id="3" name="Image 3" descr="Signature of Anshuman Razdan VPR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Signature of Anshuman Razdan VPRI"/>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369" cy="579213"/>
                    </a:xfrm>
                    <a:prstGeom prst="rect">
                      <a:avLst/>
                    </a:prstGeom>
                  </pic:spPr>
                </pic:pic>
              </a:graphicData>
            </a:graphic>
          </wp:inline>
        </w:drawing>
      </w:r>
    </w:p>
    <w:p w14:paraId="53DDC63D" w14:textId="178DDFC4" w:rsidR="00130FA5" w:rsidRPr="00FB70BF" w:rsidRDefault="00000000" w:rsidP="00FB70BF">
      <w:pPr>
        <w:pStyle w:val="BodyText"/>
        <w:tabs>
          <w:tab w:val="left" w:pos="1777"/>
        </w:tabs>
        <w:spacing w:line="489" w:lineRule="auto"/>
        <w:ind w:left="1060" w:right="2487" w:hanging="1"/>
      </w:pPr>
      <w:r w:rsidRPr="00FB70BF">
        <w:t>Re:</w:t>
      </w:r>
      <w:r w:rsidRPr="00FB70BF">
        <w:tab/>
        <w:t>FY25 Beginning Budget ICC Allocations</w:t>
      </w:r>
    </w:p>
    <w:p w14:paraId="7E0AF5BD" w14:textId="77777777" w:rsidR="00130FA5" w:rsidRPr="00FB70BF" w:rsidRDefault="00000000" w:rsidP="00FB70BF">
      <w:pPr>
        <w:pStyle w:val="BodyText"/>
        <w:spacing w:line="244" w:lineRule="auto"/>
        <w:ind w:left="1059" w:right="1052"/>
      </w:pPr>
      <w:r w:rsidRPr="00FB70BF">
        <w:t>This annual budget memo provides information about the allocation of Facilities &amp; Administration (F&amp;A) funds received as indirect cost credit (ICC) in the beginning budget for fiscal year (FY) 2025. Allocations are based on collections that occurred between January 1, 2023, and December 31, 2023. During this period, the university collected</w:t>
      </w:r>
    </w:p>
    <w:p w14:paraId="05823CDD" w14:textId="77777777" w:rsidR="00130FA5" w:rsidRPr="00FB70BF" w:rsidRDefault="00000000" w:rsidP="00FB70BF">
      <w:pPr>
        <w:pStyle w:val="BodyText"/>
        <w:ind w:left="1059"/>
      </w:pPr>
      <w:r w:rsidRPr="00FB70BF">
        <w:t xml:space="preserve">$35.6 </w:t>
      </w:r>
      <w:proofErr w:type="spellStart"/>
      <w:r w:rsidRPr="00FB70BF">
        <w:t>million</w:t>
      </w:r>
      <w:proofErr w:type="spellEnd"/>
      <w:r w:rsidRPr="00FB70BF">
        <w:t xml:space="preserve"> of F&amp;A from external sponsors.</w:t>
      </w:r>
    </w:p>
    <w:p w14:paraId="70659EA8" w14:textId="77777777" w:rsidR="00130FA5" w:rsidRPr="00FB70BF" w:rsidRDefault="00130FA5" w:rsidP="00FB70BF">
      <w:pPr>
        <w:pStyle w:val="BodyText"/>
        <w:spacing w:before="10"/>
      </w:pPr>
    </w:p>
    <w:p w14:paraId="058491F7" w14:textId="77777777" w:rsidR="00130FA5" w:rsidRPr="00FB70BF" w:rsidRDefault="00000000" w:rsidP="00FB70BF">
      <w:pPr>
        <w:pStyle w:val="BodyText"/>
        <w:spacing w:line="244" w:lineRule="auto"/>
        <w:ind w:left="1056" w:right="1052"/>
      </w:pPr>
      <w:r w:rsidRPr="00FB70BF">
        <w:t>OVPRI allocates 13.5% of the total F&amp;A reimbursement to support utility costs ($4.5 million for the January 1, 2023, to December 31, 2023). The Phil and Penny Knight Campus for Accelerating Scientific Impact pays directly for its utilities; hence it receives 13.5% of F&amp;A recovered from grants administered by the Knight Campus to support utility costs.</w:t>
      </w:r>
    </w:p>
    <w:p w14:paraId="49E058AB" w14:textId="77777777" w:rsidR="00130FA5" w:rsidRPr="00FB70BF" w:rsidRDefault="00130FA5" w:rsidP="00FB70BF">
      <w:pPr>
        <w:pStyle w:val="BodyText"/>
        <w:spacing w:before="6"/>
      </w:pPr>
    </w:p>
    <w:p w14:paraId="3EB66AD8" w14:textId="77777777" w:rsidR="00130FA5" w:rsidRPr="00FB70BF" w:rsidRDefault="00000000" w:rsidP="00FB70BF">
      <w:pPr>
        <w:pStyle w:val="BodyText"/>
        <w:spacing w:line="244" w:lineRule="auto"/>
        <w:ind w:left="1056" w:right="1052"/>
      </w:pPr>
      <w:r w:rsidRPr="00FB70BF">
        <w:t>After utilities, FY25 beginning budget will include unit returns as detailed below (approximately $6.3 million). Distributions are 25% of F&amp;A collected (less the utility distribution) for awards with a sponsor indirect rate of 20% or more. In addition, we anticipate budgeting the following:</w:t>
      </w:r>
    </w:p>
    <w:p w14:paraId="772DA852" w14:textId="77777777" w:rsidR="00130FA5" w:rsidRPr="00FB70BF" w:rsidRDefault="00130FA5" w:rsidP="00FB70BF">
      <w:pPr>
        <w:pStyle w:val="BodyText"/>
        <w:spacing w:before="5"/>
      </w:pPr>
    </w:p>
    <w:p w14:paraId="2D9F5969" w14:textId="77777777" w:rsidR="00130FA5" w:rsidRPr="00FB70BF" w:rsidRDefault="00000000" w:rsidP="00FB70BF">
      <w:pPr>
        <w:pStyle w:val="ListParagraph"/>
        <w:numPr>
          <w:ilvl w:val="0"/>
          <w:numId w:val="1"/>
        </w:numPr>
        <w:tabs>
          <w:tab w:val="left" w:pos="1819"/>
        </w:tabs>
        <w:spacing w:before="0" w:line="244" w:lineRule="auto"/>
        <w:ind w:right="2116"/>
      </w:pPr>
      <w:r w:rsidRPr="00FB70BF">
        <w:t>$6.7 million in support of new faculty startups, matching, retention, and renovations.</w:t>
      </w:r>
    </w:p>
    <w:p w14:paraId="5535E224" w14:textId="77777777" w:rsidR="00130FA5" w:rsidRPr="00FB70BF" w:rsidRDefault="00000000" w:rsidP="00FB70BF">
      <w:pPr>
        <w:pStyle w:val="ListParagraph"/>
        <w:numPr>
          <w:ilvl w:val="0"/>
          <w:numId w:val="1"/>
        </w:numPr>
        <w:tabs>
          <w:tab w:val="left" w:pos="1820"/>
        </w:tabs>
        <w:ind w:left="1820" w:hanging="360"/>
      </w:pPr>
      <w:r w:rsidRPr="00FB70BF">
        <w:t>$0.8 million to the library.</w:t>
      </w:r>
    </w:p>
    <w:p w14:paraId="0F31667C" w14:textId="77777777" w:rsidR="00130FA5" w:rsidRPr="00FB70BF" w:rsidRDefault="00000000" w:rsidP="00FB70BF">
      <w:pPr>
        <w:pStyle w:val="ListParagraph"/>
        <w:numPr>
          <w:ilvl w:val="0"/>
          <w:numId w:val="1"/>
        </w:numPr>
        <w:tabs>
          <w:tab w:val="left" w:pos="1820"/>
        </w:tabs>
        <w:spacing w:line="244" w:lineRule="auto"/>
        <w:ind w:left="1820" w:right="1302" w:hanging="360"/>
      </w:pPr>
      <w:r w:rsidRPr="00FB70BF">
        <w:t>$2.4 million for faculty research support and development including a new focus on strategic investment priorities.</w:t>
      </w:r>
    </w:p>
    <w:p w14:paraId="753549A2" w14:textId="77777777" w:rsidR="00130FA5" w:rsidRPr="00FB70BF" w:rsidRDefault="00000000" w:rsidP="00FB70BF">
      <w:pPr>
        <w:pStyle w:val="ListParagraph"/>
        <w:numPr>
          <w:ilvl w:val="0"/>
          <w:numId w:val="1"/>
        </w:numPr>
        <w:tabs>
          <w:tab w:val="left" w:pos="1820"/>
        </w:tabs>
        <w:ind w:left="1820" w:hanging="360"/>
      </w:pPr>
      <w:r w:rsidRPr="00FB70BF">
        <w:t>$9.5 million for research administration services.</w:t>
      </w:r>
    </w:p>
    <w:p w14:paraId="1856BA99" w14:textId="77777777" w:rsidR="00130FA5" w:rsidRPr="00FB70BF" w:rsidRDefault="00000000" w:rsidP="00FB70BF">
      <w:pPr>
        <w:pStyle w:val="ListParagraph"/>
        <w:numPr>
          <w:ilvl w:val="0"/>
          <w:numId w:val="1"/>
        </w:numPr>
        <w:tabs>
          <w:tab w:val="left" w:pos="1821"/>
        </w:tabs>
        <w:spacing w:before="17"/>
        <w:ind w:left="1821"/>
      </w:pPr>
      <w:r w:rsidRPr="00FB70BF">
        <w:t>$2.5 million for research core facility central allocation.</w:t>
      </w:r>
    </w:p>
    <w:p w14:paraId="524144E4" w14:textId="77777777" w:rsidR="00130FA5" w:rsidRPr="00FB70BF" w:rsidRDefault="00000000" w:rsidP="00FB70BF">
      <w:pPr>
        <w:pStyle w:val="ListParagraph"/>
        <w:numPr>
          <w:ilvl w:val="0"/>
          <w:numId w:val="1"/>
        </w:numPr>
        <w:tabs>
          <w:tab w:val="left" w:pos="1821"/>
        </w:tabs>
        <w:spacing w:before="17"/>
        <w:ind w:left="1821" w:hanging="360"/>
      </w:pPr>
      <w:r w:rsidRPr="00FB70BF">
        <w:t>$0.1 million for undergraduate research initiatives</w:t>
      </w:r>
    </w:p>
    <w:p w14:paraId="2CFCB958" w14:textId="77777777" w:rsidR="00130FA5" w:rsidRPr="00FB70BF" w:rsidRDefault="00130FA5" w:rsidP="00FB70BF">
      <w:pPr>
        <w:pStyle w:val="BodyText"/>
        <w:spacing w:before="8"/>
      </w:pPr>
    </w:p>
    <w:p w14:paraId="765F28A0" w14:textId="77777777" w:rsidR="00130FA5" w:rsidRPr="00FB70BF" w:rsidRDefault="00000000" w:rsidP="00FB70BF">
      <w:pPr>
        <w:pStyle w:val="BodyText"/>
        <w:spacing w:line="244" w:lineRule="auto"/>
        <w:ind w:left="1057" w:right="1052"/>
      </w:pPr>
      <w:r w:rsidRPr="00FB70BF">
        <w:t xml:space="preserve">We are excited about the future of the University of Oregon and the value that our focus on research and innovation brings. Our faculty and researchers continue to grow the research enterprise and being able to reinvest F&amp;A funds into research infrastructure is critical to our success. Nearly 70% of the fungible dollars we receive are reinvested in faculty, innovation, humanities, research cores, high performance computing, libraries, and renovations. This includes more than 20% returned to the schools, colleges, centers, or institutes driving forward </w:t>
      </w:r>
      <w:r w:rsidRPr="00FB70BF">
        <w:lastRenderedPageBreak/>
        <w:t>sponsored activity.</w:t>
      </w:r>
    </w:p>
    <w:p w14:paraId="3BA68327" w14:textId="77777777" w:rsidR="00130FA5" w:rsidRPr="00FB70BF" w:rsidRDefault="00130FA5" w:rsidP="00FB70BF">
      <w:pPr>
        <w:pStyle w:val="BodyText"/>
        <w:spacing w:before="4"/>
      </w:pPr>
    </w:p>
    <w:p w14:paraId="7E0240C3" w14:textId="77777777" w:rsidR="00130FA5" w:rsidRPr="00FB70BF" w:rsidRDefault="00000000" w:rsidP="00FB70BF">
      <w:pPr>
        <w:pStyle w:val="BodyText"/>
        <w:spacing w:before="1" w:line="244" w:lineRule="auto"/>
        <w:ind w:left="1057" w:right="1052"/>
      </w:pPr>
      <w:r w:rsidRPr="00FB70BF">
        <w:t>OVPRI is committed to supporting research and scholarship across campus. Our two main principles are:</w:t>
      </w:r>
    </w:p>
    <w:p w14:paraId="377B71A0" w14:textId="77777777" w:rsidR="00130FA5" w:rsidRPr="00FB70BF" w:rsidRDefault="00130FA5" w:rsidP="00FB70BF">
      <w:pPr>
        <w:spacing w:line="244" w:lineRule="auto"/>
        <w:rPr>
          <w:rFonts w:ascii="Times New Roman" w:hAnsi="Times New Roman" w:cs="Times New Roman"/>
        </w:rPr>
        <w:sectPr w:rsidR="00130FA5" w:rsidRPr="00FB70BF" w:rsidSect="00FB70BF">
          <w:footerReference w:type="default" r:id="rId9"/>
          <w:type w:val="continuous"/>
          <w:pgSz w:w="12240" w:h="15840"/>
          <w:pgMar w:top="1498" w:right="475" w:bottom="965" w:left="1094" w:header="0" w:footer="778" w:gutter="0"/>
          <w:pgNumType w:start="1"/>
          <w:cols w:space="720"/>
        </w:sectPr>
      </w:pPr>
    </w:p>
    <w:p w14:paraId="15C2D979" w14:textId="77777777" w:rsidR="00130FA5" w:rsidRPr="00FB70BF" w:rsidRDefault="00000000" w:rsidP="00FB70BF">
      <w:pPr>
        <w:pStyle w:val="ListParagraph"/>
        <w:numPr>
          <w:ilvl w:val="0"/>
          <w:numId w:val="1"/>
        </w:numPr>
        <w:tabs>
          <w:tab w:val="left" w:pos="1799"/>
        </w:tabs>
        <w:spacing w:before="96"/>
        <w:ind w:left="1799" w:hanging="360"/>
      </w:pPr>
      <w:r w:rsidRPr="00FB70BF">
        <w:t>Be the best-in-class service organization for our faculty, researchers, and students.</w:t>
      </w:r>
    </w:p>
    <w:p w14:paraId="6F1DC255" w14:textId="77777777" w:rsidR="00130FA5" w:rsidRPr="00FB70BF" w:rsidRDefault="00000000" w:rsidP="00FB70BF">
      <w:pPr>
        <w:pStyle w:val="ListParagraph"/>
        <w:numPr>
          <w:ilvl w:val="0"/>
          <w:numId w:val="1"/>
        </w:numPr>
        <w:tabs>
          <w:tab w:val="left" w:pos="1799"/>
        </w:tabs>
        <w:spacing w:before="15" w:line="244" w:lineRule="auto"/>
        <w:ind w:left="1799" w:right="1359"/>
      </w:pPr>
      <w:r w:rsidRPr="00FB70BF">
        <w:t>Build robust infrastructure and smooth processes to support and grow research and innovation.</w:t>
      </w:r>
    </w:p>
    <w:p w14:paraId="63B52CBD" w14:textId="77777777" w:rsidR="00130FA5" w:rsidRPr="00FB70BF" w:rsidRDefault="00130FA5" w:rsidP="00FB70BF">
      <w:pPr>
        <w:pStyle w:val="BodyText"/>
        <w:spacing w:before="4"/>
      </w:pPr>
    </w:p>
    <w:p w14:paraId="38824439" w14:textId="77777777" w:rsidR="00130FA5" w:rsidRPr="00FB70BF" w:rsidRDefault="00000000" w:rsidP="00FB70BF">
      <w:pPr>
        <w:pStyle w:val="BodyText"/>
        <w:spacing w:line="244" w:lineRule="auto"/>
        <w:ind w:left="1057" w:right="1064"/>
      </w:pPr>
      <w:r w:rsidRPr="00FB70BF">
        <w:t>Guided by the above, OVPRI units strive to perform in every aspect. OVPRI investments in the past year have spanned all sectors. From creating new seed grant programs to improvements in IRB turnaround times; entering the design-build phase of the EDA Oregon Acoustics Research Laboratory; strengthening collaboration and compliance in the areas of export controls; $200K for enabling excellent scholarship in the humanities; to appropriately filling positions, retaining staff, and supporting partner units in need; to 33 new innovations disclosed, 41 patent applications, 23 option and license agreements, and</w:t>
      </w:r>
    </w:p>
    <w:p w14:paraId="78801851" w14:textId="77777777" w:rsidR="00130FA5" w:rsidRPr="00FB70BF" w:rsidRDefault="00000000" w:rsidP="00FB70BF">
      <w:pPr>
        <w:pStyle w:val="BodyText"/>
        <w:spacing w:line="252" w:lineRule="exact"/>
        <w:ind w:left="1057"/>
      </w:pPr>
      <w:r w:rsidRPr="00FB70BF">
        <w:t>$8.3M in licensing income.</w:t>
      </w:r>
    </w:p>
    <w:p w14:paraId="6531E4EB" w14:textId="77777777" w:rsidR="00130FA5" w:rsidRPr="00FB70BF" w:rsidRDefault="00130FA5" w:rsidP="00FB70BF">
      <w:pPr>
        <w:pStyle w:val="BodyText"/>
        <w:spacing w:before="10"/>
      </w:pPr>
    </w:p>
    <w:p w14:paraId="4627F133" w14:textId="77777777" w:rsidR="00130FA5" w:rsidRPr="00FB70BF" w:rsidRDefault="00000000" w:rsidP="00FB70BF">
      <w:pPr>
        <w:pStyle w:val="BodyText"/>
        <w:spacing w:line="244" w:lineRule="auto"/>
        <w:ind w:left="1057" w:right="1052"/>
      </w:pPr>
      <w:r w:rsidRPr="00FB70BF">
        <w:t xml:space="preserve">OVPRI also saw opportunities to invest in areas not originally budgeted. To support the expansion of research and data science, over $1 million was committed to refreshing and growing our high-performance computing capacity. OVPRI also absorbed the impact of this year’s GTFF salary increase, totaling approximately $250k, providing PIs time to </w:t>
      </w:r>
      <w:proofErr w:type="gramStart"/>
      <w:r w:rsidRPr="00FB70BF">
        <w:t>plan for the future</w:t>
      </w:r>
      <w:proofErr w:type="gramEnd"/>
      <w:r w:rsidRPr="00FB70BF">
        <w:t>. We provided an additional $300K over our committed subsidy to fund our research cores, where use was lower than anticipated.</w:t>
      </w:r>
    </w:p>
    <w:p w14:paraId="055D059A" w14:textId="77777777" w:rsidR="00130FA5" w:rsidRPr="00FB70BF" w:rsidRDefault="00130FA5" w:rsidP="00FB70BF">
      <w:pPr>
        <w:pStyle w:val="BodyText"/>
        <w:spacing w:before="3"/>
      </w:pPr>
    </w:p>
    <w:p w14:paraId="5CAC90C7" w14:textId="77777777" w:rsidR="00130FA5" w:rsidRPr="00FB70BF" w:rsidRDefault="00000000" w:rsidP="00FB70BF">
      <w:pPr>
        <w:pStyle w:val="BodyText"/>
        <w:spacing w:before="1" w:line="244" w:lineRule="auto"/>
        <w:ind w:left="1056" w:right="1052"/>
      </w:pPr>
      <w:r w:rsidRPr="00FB70BF">
        <w:t>OVPRI thanks our partner units for a successful year and looks forward to continuing to collaborate in support of research and scholarship across campus.</w:t>
      </w:r>
    </w:p>
    <w:p w14:paraId="633B0618" w14:textId="77777777" w:rsidR="00130FA5" w:rsidRPr="00FB70BF" w:rsidRDefault="00130FA5" w:rsidP="00FB70BF">
      <w:pPr>
        <w:pStyle w:val="BodyText"/>
      </w:pPr>
    </w:p>
    <w:p w14:paraId="6A65C4D2" w14:textId="77777777" w:rsidR="00130FA5" w:rsidRPr="00FB70BF" w:rsidRDefault="00130FA5" w:rsidP="00FB70BF">
      <w:pPr>
        <w:pStyle w:val="BodyText"/>
      </w:pPr>
    </w:p>
    <w:p w14:paraId="5D3CA107" w14:textId="77777777" w:rsidR="00130FA5" w:rsidRPr="00FB70BF" w:rsidRDefault="00000000" w:rsidP="00FB70BF">
      <w:pPr>
        <w:pStyle w:val="Heading1"/>
        <w:ind w:left="3060"/>
      </w:pPr>
      <w:r w:rsidRPr="00FB70BF">
        <w:t>FY25 Beginning Budget ICC Allocations</w:t>
      </w:r>
    </w:p>
    <w:p w14:paraId="79FA633B" w14:textId="77777777" w:rsidR="00130FA5" w:rsidRPr="00FB70BF" w:rsidRDefault="00130FA5" w:rsidP="00FB70BF">
      <w:pPr>
        <w:pStyle w:val="BodyText"/>
        <w:spacing w:before="7"/>
      </w:pPr>
    </w:p>
    <w:tbl>
      <w:tblPr>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00"/>
        <w:gridCol w:w="1272"/>
      </w:tblGrid>
      <w:tr w:rsidR="00130FA5" w:rsidRPr="00FB70BF" w14:paraId="33BA30F8" w14:textId="77777777">
        <w:trPr>
          <w:trHeight w:val="515"/>
        </w:trPr>
        <w:tc>
          <w:tcPr>
            <w:tcW w:w="6900" w:type="dxa"/>
          </w:tcPr>
          <w:p w14:paraId="15BDB889" w14:textId="77777777" w:rsidR="00130FA5" w:rsidRPr="00FB70BF" w:rsidRDefault="00000000" w:rsidP="00FB70BF">
            <w:pPr>
              <w:pStyle w:val="TableParagraph"/>
              <w:ind w:left="110"/>
            </w:pPr>
            <w:r w:rsidRPr="00FB70BF">
              <w:t>College of Arts and Sciences</w:t>
            </w:r>
          </w:p>
        </w:tc>
        <w:tc>
          <w:tcPr>
            <w:tcW w:w="1272" w:type="dxa"/>
          </w:tcPr>
          <w:p w14:paraId="2A5D1B0A" w14:textId="77777777" w:rsidR="00130FA5" w:rsidRPr="00FB70BF" w:rsidRDefault="00130FA5" w:rsidP="00FB70BF">
            <w:pPr>
              <w:pStyle w:val="TableParagraph"/>
              <w:spacing w:before="7"/>
            </w:pPr>
          </w:p>
          <w:p w14:paraId="50E31C1C" w14:textId="77777777" w:rsidR="00130FA5" w:rsidRPr="00FB70BF" w:rsidRDefault="00000000" w:rsidP="00FB70BF">
            <w:pPr>
              <w:pStyle w:val="TableParagraph"/>
              <w:spacing w:before="0" w:line="236" w:lineRule="exact"/>
              <w:ind w:right="94"/>
            </w:pPr>
            <w:r w:rsidRPr="00FB70BF">
              <w:t>$1,390,441</w:t>
            </w:r>
          </w:p>
        </w:tc>
      </w:tr>
      <w:tr w:rsidR="00130FA5" w:rsidRPr="00FB70BF" w14:paraId="6D063899" w14:textId="77777777">
        <w:trPr>
          <w:trHeight w:val="299"/>
        </w:trPr>
        <w:tc>
          <w:tcPr>
            <w:tcW w:w="6900" w:type="dxa"/>
          </w:tcPr>
          <w:p w14:paraId="08F568EC" w14:textId="77777777" w:rsidR="00130FA5" w:rsidRPr="00FB70BF" w:rsidRDefault="00000000" w:rsidP="00FB70BF">
            <w:pPr>
              <w:pStyle w:val="TableParagraph"/>
              <w:ind w:left="110"/>
            </w:pPr>
            <w:r w:rsidRPr="00FB70BF">
              <w:t>College Of Design</w:t>
            </w:r>
          </w:p>
        </w:tc>
        <w:tc>
          <w:tcPr>
            <w:tcW w:w="1272" w:type="dxa"/>
          </w:tcPr>
          <w:p w14:paraId="49C6DC82" w14:textId="77777777" w:rsidR="00130FA5" w:rsidRPr="00FB70BF" w:rsidRDefault="00000000" w:rsidP="00FB70BF">
            <w:pPr>
              <w:pStyle w:val="TableParagraph"/>
              <w:ind w:right="93"/>
            </w:pPr>
            <w:r w:rsidRPr="00FB70BF">
              <w:t>$106,761</w:t>
            </w:r>
          </w:p>
        </w:tc>
      </w:tr>
      <w:tr w:rsidR="00130FA5" w:rsidRPr="00FB70BF" w14:paraId="527841E4" w14:textId="77777777">
        <w:trPr>
          <w:trHeight w:val="299"/>
        </w:trPr>
        <w:tc>
          <w:tcPr>
            <w:tcW w:w="6900" w:type="dxa"/>
          </w:tcPr>
          <w:p w14:paraId="22B62977" w14:textId="77777777" w:rsidR="00130FA5" w:rsidRPr="00FB70BF" w:rsidRDefault="00000000" w:rsidP="00FB70BF">
            <w:pPr>
              <w:pStyle w:val="TableParagraph"/>
              <w:ind w:left="110"/>
            </w:pPr>
            <w:r w:rsidRPr="00FB70BF">
              <w:t>College Of Education: Research And Outreach</w:t>
            </w:r>
          </w:p>
        </w:tc>
        <w:tc>
          <w:tcPr>
            <w:tcW w:w="1272" w:type="dxa"/>
          </w:tcPr>
          <w:p w14:paraId="416172A7" w14:textId="77777777" w:rsidR="00130FA5" w:rsidRPr="00FB70BF" w:rsidRDefault="00000000" w:rsidP="00FB70BF">
            <w:pPr>
              <w:pStyle w:val="TableParagraph"/>
              <w:ind w:right="93"/>
            </w:pPr>
            <w:r w:rsidRPr="00FB70BF">
              <w:t>$882,554</w:t>
            </w:r>
          </w:p>
        </w:tc>
      </w:tr>
      <w:tr w:rsidR="00130FA5" w:rsidRPr="00FB70BF" w14:paraId="729A38D1" w14:textId="77777777">
        <w:trPr>
          <w:trHeight w:val="299"/>
        </w:trPr>
        <w:tc>
          <w:tcPr>
            <w:tcW w:w="6900" w:type="dxa"/>
          </w:tcPr>
          <w:p w14:paraId="6A849DC5" w14:textId="77777777" w:rsidR="00130FA5" w:rsidRPr="00FB70BF" w:rsidRDefault="00000000" w:rsidP="00FB70BF">
            <w:pPr>
              <w:pStyle w:val="TableParagraph"/>
              <w:ind w:left="110"/>
            </w:pPr>
            <w:r w:rsidRPr="00FB70BF">
              <w:t>Knight Campus For Accelerating Scientific Impact</w:t>
            </w:r>
          </w:p>
        </w:tc>
        <w:tc>
          <w:tcPr>
            <w:tcW w:w="1272" w:type="dxa"/>
          </w:tcPr>
          <w:p w14:paraId="7CA57584" w14:textId="77777777" w:rsidR="00130FA5" w:rsidRPr="00FB70BF" w:rsidRDefault="00000000" w:rsidP="00FB70BF">
            <w:pPr>
              <w:pStyle w:val="TableParagraph"/>
              <w:ind w:right="93"/>
            </w:pPr>
            <w:r w:rsidRPr="00FB70BF">
              <w:t>$322,593</w:t>
            </w:r>
          </w:p>
        </w:tc>
      </w:tr>
      <w:tr w:rsidR="00130FA5" w:rsidRPr="00FB70BF" w14:paraId="679CE6F0" w14:textId="77777777">
        <w:trPr>
          <w:trHeight w:val="299"/>
        </w:trPr>
        <w:tc>
          <w:tcPr>
            <w:tcW w:w="6900" w:type="dxa"/>
          </w:tcPr>
          <w:p w14:paraId="2182B179" w14:textId="77777777" w:rsidR="00130FA5" w:rsidRPr="00FB70BF" w:rsidRDefault="00000000" w:rsidP="00FB70BF">
            <w:pPr>
              <w:pStyle w:val="TableParagraph"/>
              <w:ind w:left="110"/>
            </w:pPr>
            <w:r w:rsidRPr="00FB70BF">
              <w:t>Music And Dance, School Of</w:t>
            </w:r>
          </w:p>
        </w:tc>
        <w:tc>
          <w:tcPr>
            <w:tcW w:w="1272" w:type="dxa"/>
          </w:tcPr>
          <w:p w14:paraId="2DDF3910" w14:textId="77777777" w:rsidR="00130FA5" w:rsidRPr="00FB70BF" w:rsidRDefault="00000000" w:rsidP="00FB70BF">
            <w:pPr>
              <w:pStyle w:val="TableParagraph"/>
              <w:ind w:right="93"/>
            </w:pPr>
            <w:r w:rsidRPr="00FB70BF">
              <w:t>$2,097</w:t>
            </w:r>
          </w:p>
        </w:tc>
      </w:tr>
      <w:tr w:rsidR="00130FA5" w:rsidRPr="00FB70BF" w14:paraId="197825C2" w14:textId="77777777">
        <w:trPr>
          <w:trHeight w:val="299"/>
        </w:trPr>
        <w:tc>
          <w:tcPr>
            <w:tcW w:w="6900" w:type="dxa"/>
          </w:tcPr>
          <w:p w14:paraId="09547403" w14:textId="77777777" w:rsidR="00130FA5" w:rsidRPr="00FB70BF" w:rsidRDefault="00000000" w:rsidP="00FB70BF">
            <w:pPr>
              <w:pStyle w:val="TableParagraph"/>
              <w:ind w:left="110"/>
            </w:pPr>
            <w:r w:rsidRPr="00FB70BF">
              <w:t>School Of Journalism and Communication</w:t>
            </w:r>
          </w:p>
        </w:tc>
        <w:tc>
          <w:tcPr>
            <w:tcW w:w="1272" w:type="dxa"/>
          </w:tcPr>
          <w:p w14:paraId="07F33D02" w14:textId="77777777" w:rsidR="00130FA5" w:rsidRPr="00FB70BF" w:rsidRDefault="00000000" w:rsidP="00FB70BF">
            <w:pPr>
              <w:pStyle w:val="TableParagraph"/>
              <w:ind w:right="93"/>
            </w:pPr>
            <w:r w:rsidRPr="00FB70BF">
              <w:t>$29,060</w:t>
            </w:r>
          </w:p>
        </w:tc>
      </w:tr>
      <w:tr w:rsidR="00130FA5" w:rsidRPr="00FB70BF" w14:paraId="03DC404B" w14:textId="77777777">
        <w:trPr>
          <w:trHeight w:val="302"/>
        </w:trPr>
        <w:tc>
          <w:tcPr>
            <w:tcW w:w="6900" w:type="dxa"/>
          </w:tcPr>
          <w:p w14:paraId="314D4783" w14:textId="77777777" w:rsidR="00130FA5" w:rsidRPr="00FB70BF" w:rsidRDefault="00000000" w:rsidP="00FB70BF">
            <w:pPr>
              <w:pStyle w:val="TableParagraph"/>
              <w:spacing w:before="5"/>
              <w:ind w:left="110"/>
            </w:pPr>
            <w:r w:rsidRPr="00FB70BF">
              <w:t>School Of Law</w:t>
            </w:r>
          </w:p>
        </w:tc>
        <w:tc>
          <w:tcPr>
            <w:tcW w:w="1272" w:type="dxa"/>
          </w:tcPr>
          <w:p w14:paraId="7CBD43BA" w14:textId="77777777" w:rsidR="00130FA5" w:rsidRPr="00FB70BF" w:rsidRDefault="00000000" w:rsidP="00FB70BF">
            <w:pPr>
              <w:pStyle w:val="TableParagraph"/>
              <w:spacing w:before="5"/>
              <w:ind w:right="93"/>
            </w:pPr>
            <w:r w:rsidRPr="00FB70BF">
              <w:t>$2,225</w:t>
            </w:r>
          </w:p>
        </w:tc>
      </w:tr>
      <w:tr w:rsidR="00130FA5" w:rsidRPr="00FB70BF" w14:paraId="0452C739" w14:textId="77777777">
        <w:trPr>
          <w:trHeight w:val="299"/>
        </w:trPr>
        <w:tc>
          <w:tcPr>
            <w:tcW w:w="6900" w:type="dxa"/>
          </w:tcPr>
          <w:p w14:paraId="339B2B2E" w14:textId="77777777" w:rsidR="00130FA5" w:rsidRPr="00FB70BF" w:rsidRDefault="00000000" w:rsidP="00FB70BF">
            <w:pPr>
              <w:pStyle w:val="TableParagraph"/>
              <w:ind w:left="110"/>
            </w:pPr>
            <w:r w:rsidRPr="00FB70BF">
              <w:t>School Of Music</w:t>
            </w:r>
          </w:p>
        </w:tc>
        <w:tc>
          <w:tcPr>
            <w:tcW w:w="1272" w:type="dxa"/>
          </w:tcPr>
          <w:p w14:paraId="62D44472" w14:textId="77777777" w:rsidR="00130FA5" w:rsidRPr="00FB70BF" w:rsidRDefault="00000000" w:rsidP="00FB70BF">
            <w:pPr>
              <w:pStyle w:val="TableParagraph"/>
              <w:ind w:right="91"/>
            </w:pPr>
            <w:r w:rsidRPr="00FB70BF">
              <w:t>$158</w:t>
            </w:r>
          </w:p>
        </w:tc>
      </w:tr>
      <w:tr w:rsidR="00130FA5" w:rsidRPr="00FB70BF" w14:paraId="44FE9546" w14:textId="77777777">
        <w:trPr>
          <w:trHeight w:val="299"/>
        </w:trPr>
        <w:tc>
          <w:tcPr>
            <w:tcW w:w="6900" w:type="dxa"/>
          </w:tcPr>
          <w:p w14:paraId="76B18835" w14:textId="77777777" w:rsidR="00130FA5" w:rsidRPr="00FB70BF" w:rsidRDefault="00130FA5" w:rsidP="00FB70BF">
            <w:pPr>
              <w:pStyle w:val="TableParagraph"/>
              <w:spacing w:before="0"/>
            </w:pPr>
          </w:p>
        </w:tc>
        <w:tc>
          <w:tcPr>
            <w:tcW w:w="1272" w:type="dxa"/>
          </w:tcPr>
          <w:p w14:paraId="13C3436E" w14:textId="77777777" w:rsidR="00130FA5" w:rsidRPr="00FB70BF" w:rsidRDefault="00130FA5" w:rsidP="00FB70BF">
            <w:pPr>
              <w:pStyle w:val="TableParagraph"/>
              <w:spacing w:before="0"/>
            </w:pPr>
          </w:p>
        </w:tc>
      </w:tr>
      <w:tr w:rsidR="00130FA5" w:rsidRPr="00FB70BF" w14:paraId="23836403" w14:textId="77777777">
        <w:trPr>
          <w:trHeight w:val="299"/>
        </w:trPr>
        <w:tc>
          <w:tcPr>
            <w:tcW w:w="6900" w:type="dxa"/>
          </w:tcPr>
          <w:p w14:paraId="75B16EC0" w14:textId="77777777" w:rsidR="00130FA5" w:rsidRPr="00FB70BF" w:rsidRDefault="00000000" w:rsidP="00FB70BF">
            <w:pPr>
              <w:pStyle w:val="TableParagraph"/>
              <w:ind w:left="110"/>
            </w:pPr>
            <w:r w:rsidRPr="00FB70BF">
              <w:t>Counseling Center</w:t>
            </w:r>
          </w:p>
        </w:tc>
        <w:tc>
          <w:tcPr>
            <w:tcW w:w="1272" w:type="dxa"/>
          </w:tcPr>
          <w:p w14:paraId="32F2B12A" w14:textId="77777777" w:rsidR="00130FA5" w:rsidRPr="00FB70BF" w:rsidRDefault="00000000" w:rsidP="00FB70BF">
            <w:pPr>
              <w:pStyle w:val="TableParagraph"/>
              <w:ind w:right="93"/>
            </w:pPr>
            <w:r w:rsidRPr="00FB70BF">
              <w:t>$1,699</w:t>
            </w:r>
          </w:p>
        </w:tc>
      </w:tr>
      <w:tr w:rsidR="00130FA5" w:rsidRPr="00FB70BF" w14:paraId="037217FA" w14:textId="77777777">
        <w:trPr>
          <w:trHeight w:val="299"/>
        </w:trPr>
        <w:tc>
          <w:tcPr>
            <w:tcW w:w="6900" w:type="dxa"/>
          </w:tcPr>
          <w:p w14:paraId="02A09312" w14:textId="77777777" w:rsidR="00130FA5" w:rsidRPr="00FB70BF" w:rsidRDefault="00000000" w:rsidP="00FB70BF">
            <w:pPr>
              <w:pStyle w:val="TableParagraph"/>
              <w:ind w:left="110"/>
            </w:pPr>
            <w:r w:rsidRPr="00FB70BF">
              <w:t xml:space="preserve">Division Of Global Engagement Ctr </w:t>
            </w:r>
            <w:proofErr w:type="gramStart"/>
            <w:r w:rsidRPr="00FB70BF">
              <w:t>For</w:t>
            </w:r>
            <w:proofErr w:type="gramEnd"/>
            <w:r w:rsidRPr="00FB70BF">
              <w:t xml:space="preserve"> Asian Pacific Studies</w:t>
            </w:r>
          </w:p>
        </w:tc>
        <w:tc>
          <w:tcPr>
            <w:tcW w:w="1272" w:type="dxa"/>
          </w:tcPr>
          <w:p w14:paraId="6536D40E" w14:textId="77777777" w:rsidR="00130FA5" w:rsidRPr="00FB70BF" w:rsidRDefault="00000000" w:rsidP="00FB70BF">
            <w:pPr>
              <w:pStyle w:val="TableParagraph"/>
              <w:ind w:right="93"/>
            </w:pPr>
            <w:r w:rsidRPr="00FB70BF">
              <w:t>$13,264</w:t>
            </w:r>
          </w:p>
        </w:tc>
      </w:tr>
      <w:tr w:rsidR="00130FA5" w:rsidRPr="00FB70BF" w14:paraId="7E8E5C14" w14:textId="77777777">
        <w:trPr>
          <w:trHeight w:val="299"/>
        </w:trPr>
        <w:tc>
          <w:tcPr>
            <w:tcW w:w="6900" w:type="dxa"/>
          </w:tcPr>
          <w:p w14:paraId="4B0E71BD" w14:textId="77777777" w:rsidR="00130FA5" w:rsidRPr="00FB70BF" w:rsidRDefault="00000000" w:rsidP="00FB70BF">
            <w:pPr>
              <w:pStyle w:val="TableParagraph"/>
              <w:ind w:left="110"/>
            </w:pPr>
            <w:r w:rsidRPr="00FB70BF">
              <w:t>Division Of Global Engagement Special Programs</w:t>
            </w:r>
          </w:p>
        </w:tc>
        <w:tc>
          <w:tcPr>
            <w:tcW w:w="1272" w:type="dxa"/>
          </w:tcPr>
          <w:p w14:paraId="042E480A" w14:textId="77777777" w:rsidR="00130FA5" w:rsidRPr="00FB70BF" w:rsidRDefault="00000000" w:rsidP="00FB70BF">
            <w:pPr>
              <w:pStyle w:val="TableParagraph"/>
              <w:ind w:right="93"/>
            </w:pPr>
            <w:r w:rsidRPr="00FB70BF">
              <w:t>$37,310</w:t>
            </w:r>
          </w:p>
        </w:tc>
      </w:tr>
      <w:tr w:rsidR="00130FA5" w:rsidRPr="00FB70BF" w14:paraId="1919D5A8" w14:textId="77777777">
        <w:trPr>
          <w:trHeight w:val="301"/>
        </w:trPr>
        <w:tc>
          <w:tcPr>
            <w:tcW w:w="6900" w:type="dxa"/>
          </w:tcPr>
          <w:p w14:paraId="366F712A" w14:textId="77777777" w:rsidR="00130FA5" w:rsidRPr="00FB70BF" w:rsidRDefault="00000000" w:rsidP="00FB70BF">
            <w:pPr>
              <w:pStyle w:val="TableParagraph"/>
              <w:spacing w:before="5"/>
              <w:ind w:left="110"/>
            </w:pPr>
            <w:r w:rsidRPr="00FB70BF">
              <w:t>Graduate School</w:t>
            </w:r>
          </w:p>
        </w:tc>
        <w:tc>
          <w:tcPr>
            <w:tcW w:w="1272" w:type="dxa"/>
          </w:tcPr>
          <w:p w14:paraId="6C552282" w14:textId="77777777" w:rsidR="00130FA5" w:rsidRPr="00FB70BF" w:rsidRDefault="00000000" w:rsidP="00FB70BF">
            <w:pPr>
              <w:pStyle w:val="TableParagraph"/>
              <w:spacing w:before="5"/>
              <w:ind w:right="93"/>
            </w:pPr>
            <w:r w:rsidRPr="00FB70BF">
              <w:t>$240</w:t>
            </w:r>
          </w:p>
        </w:tc>
      </w:tr>
      <w:tr w:rsidR="00130FA5" w:rsidRPr="00FB70BF" w14:paraId="1DFB475C" w14:textId="77777777">
        <w:trPr>
          <w:trHeight w:val="299"/>
        </w:trPr>
        <w:tc>
          <w:tcPr>
            <w:tcW w:w="6900" w:type="dxa"/>
          </w:tcPr>
          <w:p w14:paraId="0F264E40" w14:textId="77777777" w:rsidR="00130FA5" w:rsidRPr="00FB70BF" w:rsidRDefault="00000000" w:rsidP="00FB70BF">
            <w:pPr>
              <w:pStyle w:val="TableParagraph"/>
              <w:ind w:left="110"/>
            </w:pPr>
            <w:r w:rsidRPr="00FB70BF">
              <w:t>KWAX - University Communications</w:t>
            </w:r>
          </w:p>
        </w:tc>
        <w:tc>
          <w:tcPr>
            <w:tcW w:w="1272" w:type="dxa"/>
          </w:tcPr>
          <w:p w14:paraId="4B9493EA" w14:textId="77777777" w:rsidR="00130FA5" w:rsidRPr="00FB70BF" w:rsidRDefault="00000000" w:rsidP="00FB70BF">
            <w:pPr>
              <w:pStyle w:val="TableParagraph"/>
              <w:ind w:right="93"/>
            </w:pPr>
            <w:r w:rsidRPr="00FB70BF">
              <w:t>$1,532</w:t>
            </w:r>
          </w:p>
        </w:tc>
      </w:tr>
      <w:tr w:rsidR="00130FA5" w:rsidRPr="00FB70BF" w14:paraId="18268074" w14:textId="77777777">
        <w:trPr>
          <w:trHeight w:val="299"/>
        </w:trPr>
        <w:tc>
          <w:tcPr>
            <w:tcW w:w="6900" w:type="dxa"/>
          </w:tcPr>
          <w:p w14:paraId="4BED559C" w14:textId="77777777" w:rsidR="00130FA5" w:rsidRPr="00FB70BF" w:rsidRDefault="00000000" w:rsidP="00FB70BF">
            <w:pPr>
              <w:pStyle w:val="TableParagraph"/>
              <w:ind w:left="110"/>
            </w:pPr>
            <w:r w:rsidRPr="00FB70BF">
              <w:t xml:space="preserve">OPAA JSMA - Museum </w:t>
            </w:r>
            <w:proofErr w:type="gramStart"/>
            <w:r w:rsidRPr="00FB70BF">
              <w:t>Of</w:t>
            </w:r>
            <w:proofErr w:type="gramEnd"/>
            <w:r w:rsidRPr="00FB70BF">
              <w:t xml:space="preserve"> Art</w:t>
            </w:r>
          </w:p>
        </w:tc>
        <w:tc>
          <w:tcPr>
            <w:tcW w:w="1272" w:type="dxa"/>
          </w:tcPr>
          <w:p w14:paraId="6AFA1C8F" w14:textId="77777777" w:rsidR="00130FA5" w:rsidRPr="00FB70BF" w:rsidRDefault="00000000" w:rsidP="00FB70BF">
            <w:pPr>
              <w:pStyle w:val="TableParagraph"/>
              <w:ind w:right="93"/>
            </w:pPr>
            <w:r w:rsidRPr="00FB70BF">
              <w:t>$766</w:t>
            </w:r>
          </w:p>
        </w:tc>
      </w:tr>
      <w:tr w:rsidR="00130FA5" w:rsidRPr="00FB70BF" w14:paraId="6E4240CF" w14:textId="77777777">
        <w:trPr>
          <w:trHeight w:val="299"/>
        </w:trPr>
        <w:tc>
          <w:tcPr>
            <w:tcW w:w="6900" w:type="dxa"/>
          </w:tcPr>
          <w:p w14:paraId="181AA834" w14:textId="77777777" w:rsidR="00130FA5" w:rsidRPr="00FB70BF" w:rsidRDefault="00000000" w:rsidP="00FB70BF">
            <w:pPr>
              <w:pStyle w:val="TableParagraph"/>
              <w:ind w:left="110"/>
            </w:pPr>
            <w:r w:rsidRPr="00FB70BF">
              <w:t xml:space="preserve">OPAA Museum </w:t>
            </w:r>
            <w:proofErr w:type="gramStart"/>
            <w:r w:rsidRPr="00FB70BF">
              <w:t>Of</w:t>
            </w:r>
            <w:proofErr w:type="gramEnd"/>
            <w:r w:rsidRPr="00FB70BF">
              <w:t xml:space="preserve"> Natural And Cultural History</w:t>
            </w:r>
          </w:p>
        </w:tc>
        <w:tc>
          <w:tcPr>
            <w:tcW w:w="1272" w:type="dxa"/>
          </w:tcPr>
          <w:p w14:paraId="51B37FFF" w14:textId="77777777" w:rsidR="00130FA5" w:rsidRPr="00FB70BF" w:rsidRDefault="00000000" w:rsidP="00FB70BF">
            <w:pPr>
              <w:pStyle w:val="TableParagraph"/>
              <w:ind w:right="93"/>
            </w:pPr>
            <w:r w:rsidRPr="00FB70BF">
              <w:t>$88,806</w:t>
            </w:r>
          </w:p>
        </w:tc>
      </w:tr>
      <w:tr w:rsidR="00130FA5" w:rsidRPr="00FB70BF" w14:paraId="264D5127" w14:textId="77777777">
        <w:trPr>
          <w:trHeight w:val="299"/>
        </w:trPr>
        <w:tc>
          <w:tcPr>
            <w:tcW w:w="6900" w:type="dxa"/>
          </w:tcPr>
          <w:p w14:paraId="7EBD49F8" w14:textId="77777777" w:rsidR="00130FA5" w:rsidRPr="00FB70BF" w:rsidRDefault="00000000" w:rsidP="00FB70BF">
            <w:pPr>
              <w:pStyle w:val="TableParagraph"/>
              <w:ind w:left="110"/>
            </w:pPr>
            <w:r w:rsidRPr="00FB70BF">
              <w:t>VP Student Life Career Center Office</w:t>
            </w:r>
          </w:p>
        </w:tc>
        <w:tc>
          <w:tcPr>
            <w:tcW w:w="1272" w:type="dxa"/>
          </w:tcPr>
          <w:p w14:paraId="3ECBAA34" w14:textId="77777777" w:rsidR="00130FA5" w:rsidRPr="00FB70BF" w:rsidRDefault="00000000" w:rsidP="00FB70BF">
            <w:pPr>
              <w:pStyle w:val="TableParagraph"/>
              <w:ind w:right="93"/>
            </w:pPr>
            <w:r w:rsidRPr="00FB70BF">
              <w:t>$3,270</w:t>
            </w:r>
          </w:p>
        </w:tc>
      </w:tr>
    </w:tbl>
    <w:p w14:paraId="7F2F0AD9" w14:textId="77777777" w:rsidR="00130FA5" w:rsidRPr="00FB70BF" w:rsidRDefault="00130FA5" w:rsidP="00FB70BF">
      <w:pPr>
        <w:rPr>
          <w:rFonts w:ascii="Times New Roman" w:hAnsi="Times New Roman" w:cs="Times New Roman"/>
        </w:rPr>
        <w:sectPr w:rsidR="00130FA5" w:rsidRPr="00FB70BF" w:rsidSect="00FB70BF">
          <w:type w:val="continuous"/>
          <w:pgSz w:w="12240" w:h="15840"/>
          <w:pgMar w:top="1498" w:right="475" w:bottom="965" w:left="1094" w:header="0" w:footer="778" w:gutter="0"/>
          <w:cols w:space="720"/>
        </w:sectPr>
      </w:pPr>
    </w:p>
    <w:p w14:paraId="4AC02430" w14:textId="77777777" w:rsidR="00130FA5" w:rsidRPr="00FB70BF" w:rsidRDefault="00000000" w:rsidP="00FB70BF">
      <w:pPr>
        <w:pStyle w:val="Heading1"/>
        <w:ind w:left="3150"/>
      </w:pPr>
      <w:r w:rsidRPr="00FB70BF">
        <w:lastRenderedPageBreak/>
        <w:t>OVPRI Centers &amp; Institutes</w:t>
      </w:r>
    </w:p>
    <w:p w14:paraId="48391AEE" w14:textId="77777777" w:rsidR="00130FA5" w:rsidRPr="00FB70BF" w:rsidRDefault="00130FA5" w:rsidP="00FB70BF">
      <w:pPr>
        <w:pStyle w:val="BodyText"/>
        <w:spacing w:before="7"/>
      </w:pPr>
    </w:p>
    <w:tbl>
      <w:tblPr>
        <w:tblW w:w="0" w:type="auto"/>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00"/>
        <w:gridCol w:w="1222"/>
      </w:tblGrid>
      <w:tr w:rsidR="00130FA5" w:rsidRPr="00FB70BF" w14:paraId="3BF5243A" w14:textId="77777777">
        <w:trPr>
          <w:trHeight w:val="301"/>
        </w:trPr>
        <w:tc>
          <w:tcPr>
            <w:tcW w:w="6900" w:type="dxa"/>
          </w:tcPr>
          <w:p w14:paraId="51CAFFF7" w14:textId="77777777" w:rsidR="00130FA5" w:rsidRPr="00FB70BF" w:rsidRDefault="00000000" w:rsidP="00FB70BF">
            <w:pPr>
              <w:pStyle w:val="TableParagraph"/>
              <w:spacing w:before="5"/>
              <w:ind w:left="107"/>
            </w:pPr>
            <w:proofErr w:type="spellStart"/>
            <w:r w:rsidRPr="00FB70BF">
              <w:t>COACh</w:t>
            </w:r>
            <w:proofErr w:type="spellEnd"/>
            <w:r w:rsidRPr="00FB70BF">
              <w:t xml:space="preserve"> - Committee on the Advancement of Women Chemists</w:t>
            </w:r>
          </w:p>
        </w:tc>
        <w:tc>
          <w:tcPr>
            <w:tcW w:w="1222" w:type="dxa"/>
          </w:tcPr>
          <w:p w14:paraId="73CA88F5" w14:textId="77777777" w:rsidR="00130FA5" w:rsidRPr="00FB70BF" w:rsidRDefault="00000000" w:rsidP="00FB70BF">
            <w:pPr>
              <w:pStyle w:val="TableParagraph"/>
              <w:spacing w:before="5"/>
              <w:ind w:right="96"/>
            </w:pPr>
            <w:r w:rsidRPr="00FB70BF">
              <w:t>$14,497</w:t>
            </w:r>
          </w:p>
        </w:tc>
      </w:tr>
      <w:tr w:rsidR="00130FA5" w:rsidRPr="00FB70BF" w14:paraId="14003D39" w14:textId="77777777">
        <w:trPr>
          <w:trHeight w:val="299"/>
        </w:trPr>
        <w:tc>
          <w:tcPr>
            <w:tcW w:w="6900" w:type="dxa"/>
          </w:tcPr>
          <w:p w14:paraId="467B9D43" w14:textId="77777777" w:rsidR="00130FA5" w:rsidRPr="00FB70BF" w:rsidRDefault="00000000" w:rsidP="00FB70BF">
            <w:pPr>
              <w:pStyle w:val="TableParagraph"/>
              <w:ind w:left="107"/>
            </w:pPr>
            <w:r w:rsidRPr="00FB70BF">
              <w:t xml:space="preserve">CCSP - Center </w:t>
            </w:r>
            <w:proofErr w:type="gramStart"/>
            <w:r w:rsidRPr="00FB70BF">
              <w:t>For</w:t>
            </w:r>
            <w:proofErr w:type="gramEnd"/>
            <w:r w:rsidRPr="00FB70BF">
              <w:t xml:space="preserve"> Cyber Security And Privacy</w:t>
            </w:r>
          </w:p>
        </w:tc>
        <w:tc>
          <w:tcPr>
            <w:tcW w:w="1222" w:type="dxa"/>
          </w:tcPr>
          <w:p w14:paraId="0F4CE52A" w14:textId="77777777" w:rsidR="00130FA5" w:rsidRPr="00FB70BF" w:rsidRDefault="00000000" w:rsidP="00FB70BF">
            <w:pPr>
              <w:pStyle w:val="TableParagraph"/>
              <w:ind w:right="96"/>
            </w:pPr>
            <w:r w:rsidRPr="00FB70BF">
              <w:t>$1,801</w:t>
            </w:r>
          </w:p>
        </w:tc>
      </w:tr>
      <w:tr w:rsidR="00130FA5" w:rsidRPr="00FB70BF" w14:paraId="59156EC5" w14:textId="77777777">
        <w:trPr>
          <w:trHeight w:val="299"/>
        </w:trPr>
        <w:tc>
          <w:tcPr>
            <w:tcW w:w="6900" w:type="dxa"/>
          </w:tcPr>
          <w:p w14:paraId="683979B0" w14:textId="77777777" w:rsidR="00130FA5" w:rsidRPr="00FB70BF" w:rsidRDefault="00000000" w:rsidP="00FB70BF">
            <w:pPr>
              <w:pStyle w:val="TableParagraph"/>
              <w:ind w:left="107"/>
            </w:pPr>
            <w:r w:rsidRPr="00FB70BF">
              <w:t xml:space="preserve">IEE - Institute </w:t>
            </w:r>
            <w:proofErr w:type="gramStart"/>
            <w:r w:rsidRPr="00FB70BF">
              <w:t>For</w:t>
            </w:r>
            <w:proofErr w:type="gramEnd"/>
            <w:r w:rsidRPr="00FB70BF">
              <w:t xml:space="preserve"> Ecology And Evolution</w:t>
            </w:r>
          </w:p>
        </w:tc>
        <w:tc>
          <w:tcPr>
            <w:tcW w:w="1222" w:type="dxa"/>
          </w:tcPr>
          <w:p w14:paraId="7FFE47CD" w14:textId="77777777" w:rsidR="00130FA5" w:rsidRPr="00FB70BF" w:rsidRDefault="00000000" w:rsidP="00FB70BF">
            <w:pPr>
              <w:pStyle w:val="TableParagraph"/>
              <w:ind w:right="96"/>
            </w:pPr>
            <w:r w:rsidRPr="00FB70BF">
              <w:t>$401,737</w:t>
            </w:r>
          </w:p>
        </w:tc>
      </w:tr>
      <w:tr w:rsidR="00130FA5" w:rsidRPr="00FB70BF" w14:paraId="6DE38D68" w14:textId="77777777">
        <w:trPr>
          <w:trHeight w:val="299"/>
        </w:trPr>
        <w:tc>
          <w:tcPr>
            <w:tcW w:w="6900" w:type="dxa"/>
          </w:tcPr>
          <w:p w14:paraId="2647599A" w14:textId="77777777" w:rsidR="00130FA5" w:rsidRPr="00FB70BF" w:rsidRDefault="00000000" w:rsidP="00FB70BF">
            <w:pPr>
              <w:pStyle w:val="TableParagraph"/>
              <w:ind w:left="107"/>
            </w:pPr>
            <w:r w:rsidRPr="00FB70BF">
              <w:t xml:space="preserve">IMB - Institute </w:t>
            </w:r>
            <w:proofErr w:type="gramStart"/>
            <w:r w:rsidRPr="00FB70BF">
              <w:t>Of</w:t>
            </w:r>
            <w:proofErr w:type="gramEnd"/>
            <w:r w:rsidRPr="00FB70BF">
              <w:t xml:space="preserve"> Molecular Biology</w:t>
            </w:r>
          </w:p>
        </w:tc>
        <w:tc>
          <w:tcPr>
            <w:tcW w:w="1222" w:type="dxa"/>
          </w:tcPr>
          <w:p w14:paraId="1A454137" w14:textId="77777777" w:rsidR="00130FA5" w:rsidRPr="00FB70BF" w:rsidRDefault="00000000" w:rsidP="00FB70BF">
            <w:pPr>
              <w:pStyle w:val="TableParagraph"/>
              <w:ind w:right="96"/>
            </w:pPr>
            <w:r w:rsidRPr="00FB70BF">
              <w:t>$457,211</w:t>
            </w:r>
          </w:p>
        </w:tc>
      </w:tr>
      <w:tr w:rsidR="00130FA5" w:rsidRPr="00FB70BF" w14:paraId="7B2D090B" w14:textId="77777777">
        <w:trPr>
          <w:trHeight w:val="299"/>
        </w:trPr>
        <w:tc>
          <w:tcPr>
            <w:tcW w:w="6900" w:type="dxa"/>
          </w:tcPr>
          <w:p w14:paraId="4DB4B1FC" w14:textId="77777777" w:rsidR="00130FA5" w:rsidRPr="00FB70BF" w:rsidRDefault="00000000" w:rsidP="00FB70BF">
            <w:pPr>
              <w:pStyle w:val="TableParagraph"/>
              <w:ind w:left="107"/>
            </w:pPr>
            <w:r w:rsidRPr="00FB70BF">
              <w:t xml:space="preserve">ION - Institute </w:t>
            </w:r>
            <w:proofErr w:type="gramStart"/>
            <w:r w:rsidRPr="00FB70BF">
              <w:t>Of</w:t>
            </w:r>
            <w:proofErr w:type="gramEnd"/>
            <w:r w:rsidRPr="00FB70BF">
              <w:t xml:space="preserve"> Neuroscience</w:t>
            </w:r>
          </w:p>
        </w:tc>
        <w:tc>
          <w:tcPr>
            <w:tcW w:w="1222" w:type="dxa"/>
          </w:tcPr>
          <w:p w14:paraId="281CFD45" w14:textId="77777777" w:rsidR="00130FA5" w:rsidRPr="00FB70BF" w:rsidRDefault="00000000" w:rsidP="00FB70BF">
            <w:pPr>
              <w:pStyle w:val="TableParagraph"/>
              <w:ind w:right="96"/>
            </w:pPr>
            <w:r w:rsidRPr="00FB70BF">
              <w:t>$919,734</w:t>
            </w:r>
          </w:p>
        </w:tc>
      </w:tr>
      <w:tr w:rsidR="00130FA5" w:rsidRPr="00FB70BF" w14:paraId="4E745F61" w14:textId="77777777">
        <w:trPr>
          <w:trHeight w:val="299"/>
        </w:trPr>
        <w:tc>
          <w:tcPr>
            <w:tcW w:w="6900" w:type="dxa"/>
          </w:tcPr>
          <w:p w14:paraId="09C0E80E" w14:textId="77777777" w:rsidR="00130FA5" w:rsidRPr="00FB70BF" w:rsidRDefault="00000000" w:rsidP="00FB70BF">
            <w:pPr>
              <w:pStyle w:val="TableParagraph"/>
              <w:ind w:left="107"/>
            </w:pPr>
            <w:r w:rsidRPr="00FB70BF">
              <w:t xml:space="preserve">IFS - Institute </w:t>
            </w:r>
            <w:proofErr w:type="gramStart"/>
            <w:r w:rsidRPr="00FB70BF">
              <w:t>For</w:t>
            </w:r>
            <w:proofErr w:type="gramEnd"/>
            <w:r w:rsidRPr="00FB70BF">
              <w:t xml:space="preserve"> Fundamental Science (</w:t>
            </w:r>
            <w:proofErr w:type="spellStart"/>
            <w:r w:rsidRPr="00FB70BF">
              <w:t>Fmr</w:t>
            </w:r>
            <w:proofErr w:type="spellEnd"/>
            <w:r w:rsidRPr="00FB70BF">
              <w:t xml:space="preserve">. </w:t>
            </w:r>
            <w:proofErr w:type="spellStart"/>
            <w:r w:rsidRPr="00FB70BF">
              <w:t>Chep</w:t>
            </w:r>
            <w:proofErr w:type="spellEnd"/>
            <w:r w:rsidRPr="00FB70BF">
              <w:t xml:space="preserve">/Its New </w:t>
            </w:r>
            <w:proofErr w:type="gramStart"/>
            <w:r w:rsidRPr="00FB70BF">
              <w:t>In</w:t>
            </w:r>
            <w:proofErr w:type="gramEnd"/>
            <w:r w:rsidRPr="00FB70BF">
              <w:t xml:space="preserve"> Fy21)</w:t>
            </w:r>
          </w:p>
        </w:tc>
        <w:tc>
          <w:tcPr>
            <w:tcW w:w="1222" w:type="dxa"/>
          </w:tcPr>
          <w:p w14:paraId="48931AB5" w14:textId="77777777" w:rsidR="00130FA5" w:rsidRPr="00FB70BF" w:rsidRDefault="00000000" w:rsidP="00FB70BF">
            <w:pPr>
              <w:pStyle w:val="TableParagraph"/>
              <w:ind w:right="96"/>
            </w:pPr>
            <w:r w:rsidRPr="00FB70BF">
              <w:t>$143,267</w:t>
            </w:r>
          </w:p>
        </w:tc>
      </w:tr>
      <w:tr w:rsidR="00130FA5" w:rsidRPr="00FB70BF" w14:paraId="07330486" w14:textId="77777777">
        <w:trPr>
          <w:trHeight w:val="515"/>
        </w:trPr>
        <w:tc>
          <w:tcPr>
            <w:tcW w:w="6900" w:type="dxa"/>
          </w:tcPr>
          <w:p w14:paraId="617BECF8" w14:textId="77777777" w:rsidR="00130FA5" w:rsidRPr="00FB70BF" w:rsidRDefault="00000000" w:rsidP="00FB70BF">
            <w:pPr>
              <w:pStyle w:val="TableParagraph"/>
              <w:spacing w:before="0" w:line="250" w:lineRule="atLeast"/>
              <w:ind w:left="107"/>
            </w:pPr>
            <w:r w:rsidRPr="00FB70BF">
              <w:t xml:space="preserve">IROCE - Institute </w:t>
            </w:r>
            <w:proofErr w:type="gramStart"/>
            <w:r w:rsidRPr="00FB70BF">
              <w:t>For</w:t>
            </w:r>
            <w:proofErr w:type="gramEnd"/>
            <w:r w:rsidRPr="00FB70BF">
              <w:t xml:space="preserve"> Resilient Organizations, Communities, And Environments</w:t>
            </w:r>
          </w:p>
        </w:tc>
        <w:tc>
          <w:tcPr>
            <w:tcW w:w="1222" w:type="dxa"/>
          </w:tcPr>
          <w:p w14:paraId="6A3ED30A" w14:textId="77777777" w:rsidR="00130FA5" w:rsidRPr="00FB70BF" w:rsidRDefault="00000000" w:rsidP="00FB70BF">
            <w:pPr>
              <w:pStyle w:val="TableParagraph"/>
              <w:spacing w:before="5"/>
              <w:ind w:right="96"/>
            </w:pPr>
            <w:r w:rsidRPr="00FB70BF">
              <w:t>$20,892</w:t>
            </w:r>
          </w:p>
        </w:tc>
      </w:tr>
      <w:tr w:rsidR="00130FA5" w:rsidRPr="00FB70BF" w14:paraId="145EB0EA" w14:textId="77777777">
        <w:trPr>
          <w:trHeight w:val="302"/>
        </w:trPr>
        <w:tc>
          <w:tcPr>
            <w:tcW w:w="6900" w:type="dxa"/>
          </w:tcPr>
          <w:p w14:paraId="4B412CA5" w14:textId="77777777" w:rsidR="00130FA5" w:rsidRPr="00FB70BF" w:rsidRDefault="00000000" w:rsidP="00FB70BF">
            <w:pPr>
              <w:pStyle w:val="TableParagraph"/>
              <w:spacing w:before="5"/>
              <w:ind w:left="107"/>
            </w:pPr>
            <w:r w:rsidRPr="00FB70BF">
              <w:t>MSI - Materials Science Institute</w:t>
            </w:r>
          </w:p>
        </w:tc>
        <w:tc>
          <w:tcPr>
            <w:tcW w:w="1222" w:type="dxa"/>
          </w:tcPr>
          <w:p w14:paraId="1E5A96FA" w14:textId="77777777" w:rsidR="00130FA5" w:rsidRPr="00FB70BF" w:rsidRDefault="00000000" w:rsidP="00FB70BF">
            <w:pPr>
              <w:pStyle w:val="TableParagraph"/>
              <w:spacing w:before="5"/>
              <w:ind w:right="96"/>
            </w:pPr>
            <w:r w:rsidRPr="00FB70BF">
              <w:t>$427,078</w:t>
            </w:r>
          </w:p>
        </w:tc>
      </w:tr>
      <w:tr w:rsidR="00130FA5" w:rsidRPr="00FB70BF" w14:paraId="716DEC66" w14:textId="77777777">
        <w:trPr>
          <w:trHeight w:val="299"/>
        </w:trPr>
        <w:tc>
          <w:tcPr>
            <w:tcW w:w="6900" w:type="dxa"/>
          </w:tcPr>
          <w:p w14:paraId="0FB5CE69" w14:textId="77777777" w:rsidR="00130FA5" w:rsidRPr="00FB70BF" w:rsidRDefault="00000000" w:rsidP="00FB70BF">
            <w:pPr>
              <w:pStyle w:val="TableParagraph"/>
              <w:ind w:left="107"/>
            </w:pPr>
            <w:r w:rsidRPr="00FB70BF">
              <w:t>OACISS - Oregon Advanced Computing Institute for Science and Society</w:t>
            </w:r>
          </w:p>
        </w:tc>
        <w:tc>
          <w:tcPr>
            <w:tcW w:w="1222" w:type="dxa"/>
          </w:tcPr>
          <w:p w14:paraId="4CBC5DF9" w14:textId="77777777" w:rsidR="00130FA5" w:rsidRPr="00FB70BF" w:rsidRDefault="00000000" w:rsidP="00FB70BF">
            <w:pPr>
              <w:pStyle w:val="TableParagraph"/>
              <w:ind w:right="96"/>
            </w:pPr>
            <w:r w:rsidRPr="00FB70BF">
              <w:t>$159,867</w:t>
            </w:r>
          </w:p>
        </w:tc>
      </w:tr>
      <w:tr w:rsidR="00130FA5" w:rsidRPr="00FB70BF" w14:paraId="5B9D896E" w14:textId="77777777">
        <w:trPr>
          <w:trHeight w:val="299"/>
        </w:trPr>
        <w:tc>
          <w:tcPr>
            <w:tcW w:w="6900" w:type="dxa"/>
          </w:tcPr>
          <w:p w14:paraId="2113082E" w14:textId="77777777" w:rsidR="00130FA5" w:rsidRPr="00FB70BF" w:rsidRDefault="00000000" w:rsidP="00FB70BF">
            <w:pPr>
              <w:pStyle w:val="TableParagraph"/>
              <w:ind w:left="107"/>
            </w:pPr>
            <w:r w:rsidRPr="00FB70BF">
              <w:t xml:space="preserve">OMQ - Oregon Center </w:t>
            </w:r>
            <w:proofErr w:type="gramStart"/>
            <w:r w:rsidRPr="00FB70BF">
              <w:t>For</w:t>
            </w:r>
            <w:proofErr w:type="gramEnd"/>
            <w:r w:rsidRPr="00FB70BF">
              <w:t xml:space="preserve"> Optical, Molecular And Quantum Science</w:t>
            </w:r>
          </w:p>
        </w:tc>
        <w:tc>
          <w:tcPr>
            <w:tcW w:w="1222" w:type="dxa"/>
          </w:tcPr>
          <w:p w14:paraId="722DA19A" w14:textId="77777777" w:rsidR="00130FA5" w:rsidRPr="00FB70BF" w:rsidRDefault="00000000" w:rsidP="00FB70BF">
            <w:pPr>
              <w:pStyle w:val="TableParagraph"/>
              <w:ind w:right="96"/>
            </w:pPr>
            <w:r w:rsidRPr="00FB70BF">
              <w:t>$146,560</w:t>
            </w:r>
          </w:p>
        </w:tc>
      </w:tr>
      <w:tr w:rsidR="00130FA5" w:rsidRPr="00FB70BF" w14:paraId="50447C75" w14:textId="77777777">
        <w:trPr>
          <w:trHeight w:val="299"/>
        </w:trPr>
        <w:tc>
          <w:tcPr>
            <w:tcW w:w="6900" w:type="dxa"/>
          </w:tcPr>
          <w:p w14:paraId="45AE1DCC" w14:textId="77777777" w:rsidR="00130FA5" w:rsidRPr="00FB70BF" w:rsidRDefault="00000000" w:rsidP="00FB70BF">
            <w:pPr>
              <w:pStyle w:val="TableParagraph"/>
              <w:ind w:left="107"/>
            </w:pPr>
            <w:r w:rsidRPr="00FB70BF">
              <w:t>PSI - Prevention Science Institute</w:t>
            </w:r>
          </w:p>
        </w:tc>
        <w:tc>
          <w:tcPr>
            <w:tcW w:w="1222" w:type="dxa"/>
          </w:tcPr>
          <w:p w14:paraId="43B9F6F9" w14:textId="77777777" w:rsidR="00130FA5" w:rsidRPr="00FB70BF" w:rsidRDefault="00000000" w:rsidP="00FB70BF">
            <w:pPr>
              <w:pStyle w:val="TableParagraph"/>
              <w:ind w:right="96"/>
            </w:pPr>
            <w:r w:rsidRPr="00FB70BF">
              <w:t>$704,120</w:t>
            </w:r>
          </w:p>
        </w:tc>
      </w:tr>
      <w:tr w:rsidR="00130FA5" w:rsidRPr="00FB70BF" w14:paraId="4F89C51F" w14:textId="77777777">
        <w:trPr>
          <w:trHeight w:val="299"/>
        </w:trPr>
        <w:tc>
          <w:tcPr>
            <w:tcW w:w="6900" w:type="dxa"/>
          </w:tcPr>
          <w:p w14:paraId="6E6771B6" w14:textId="352C455C" w:rsidR="00130FA5" w:rsidRPr="00FB70BF" w:rsidRDefault="00707454" w:rsidP="00FB70BF">
            <w:pPr>
              <w:rPr>
                <w:rFonts w:ascii="Times New Roman" w:hAnsi="Times New Roman" w:cs="Times New Roman"/>
              </w:rPr>
            </w:pPr>
            <w:r w:rsidRPr="00FB70BF">
              <w:rPr>
                <w:rFonts w:ascii="Times New Roman" w:hAnsi="Times New Roman" w:cs="Times New Roman"/>
              </w:rPr>
              <w:t xml:space="preserve"> Total Distributions to Units</w:t>
            </w:r>
          </w:p>
        </w:tc>
        <w:tc>
          <w:tcPr>
            <w:tcW w:w="1222" w:type="dxa"/>
          </w:tcPr>
          <w:p w14:paraId="118251D3" w14:textId="77777777" w:rsidR="00130FA5" w:rsidRPr="00FB70BF" w:rsidRDefault="00000000" w:rsidP="00FB70BF">
            <w:pPr>
              <w:pStyle w:val="TableParagraph"/>
              <w:spacing w:before="33" w:line="246" w:lineRule="exact"/>
              <w:ind w:right="96"/>
            </w:pPr>
            <w:r w:rsidRPr="00FB70BF">
              <w:t>$6,279,538</w:t>
            </w:r>
          </w:p>
        </w:tc>
      </w:tr>
    </w:tbl>
    <w:p w14:paraId="735C1C50" w14:textId="77777777" w:rsidR="00130FA5" w:rsidRPr="00FB70BF" w:rsidRDefault="00130FA5" w:rsidP="00FB70BF">
      <w:pPr>
        <w:pStyle w:val="BodyText"/>
      </w:pPr>
    </w:p>
    <w:p w14:paraId="2FB7120A" w14:textId="77777777" w:rsidR="00130FA5" w:rsidRPr="00FB70BF" w:rsidRDefault="00130FA5" w:rsidP="00FB70BF">
      <w:pPr>
        <w:pStyle w:val="BodyText"/>
      </w:pPr>
    </w:p>
    <w:p w14:paraId="1D3BCF8B" w14:textId="77777777" w:rsidR="00130FA5" w:rsidRPr="00FB70BF" w:rsidRDefault="00000000" w:rsidP="00FB70BF">
      <w:pPr>
        <w:spacing w:before="230" w:line="244" w:lineRule="auto"/>
        <w:ind w:left="1057" w:right="1570"/>
        <w:rPr>
          <w:rFonts w:ascii="Times New Roman" w:hAnsi="Times New Roman" w:cs="Times New Roman"/>
        </w:rPr>
      </w:pPr>
      <w:r w:rsidRPr="00FB70BF">
        <w:rPr>
          <w:rFonts w:ascii="Times New Roman" w:hAnsi="Times New Roman" w:cs="Times New Roman"/>
          <w:b/>
        </w:rPr>
        <w:t xml:space="preserve">Please distribute this information to your units through your routine method of providing financial communications. </w:t>
      </w:r>
      <w:r w:rsidRPr="00FB70BF">
        <w:rPr>
          <w:rFonts w:ascii="Times New Roman" w:hAnsi="Times New Roman" w:cs="Times New Roman"/>
        </w:rPr>
        <w:t xml:space="preserve">Questions may be directed to Yousef </w:t>
      </w:r>
      <w:proofErr w:type="spellStart"/>
      <w:r w:rsidRPr="00FB70BF">
        <w:rPr>
          <w:rFonts w:ascii="Times New Roman" w:hAnsi="Times New Roman" w:cs="Times New Roman"/>
        </w:rPr>
        <w:t>Alrahmani</w:t>
      </w:r>
      <w:proofErr w:type="spellEnd"/>
      <w:r w:rsidRPr="00FB70BF">
        <w:rPr>
          <w:rFonts w:ascii="Times New Roman" w:hAnsi="Times New Roman" w:cs="Times New Roman"/>
        </w:rPr>
        <w:t xml:space="preserve"> (yrahmani@uoregon.edu).</w:t>
      </w:r>
    </w:p>
    <w:p w14:paraId="1A95CD08" w14:textId="77777777" w:rsidR="00130FA5" w:rsidRPr="00FB70BF" w:rsidRDefault="00130FA5" w:rsidP="00FB70BF">
      <w:pPr>
        <w:pStyle w:val="BodyText"/>
        <w:spacing w:before="5"/>
      </w:pPr>
    </w:p>
    <w:p w14:paraId="7FE774F5" w14:textId="77777777" w:rsidR="00130FA5" w:rsidRPr="00FB70BF" w:rsidRDefault="00000000" w:rsidP="00FB70BF">
      <w:pPr>
        <w:pStyle w:val="BodyText"/>
        <w:tabs>
          <w:tab w:val="left" w:pos="1777"/>
        </w:tabs>
        <w:ind w:left="1057"/>
      </w:pPr>
      <w:r w:rsidRPr="00FB70BF">
        <w:t>cc:</w:t>
      </w:r>
      <w:r w:rsidRPr="00FB70BF">
        <w:tab/>
        <w:t>John Karl Scholz, President</w:t>
      </w:r>
    </w:p>
    <w:p w14:paraId="6D7EDF06" w14:textId="77777777" w:rsidR="00130FA5" w:rsidRPr="00FB70BF" w:rsidRDefault="00000000" w:rsidP="00FB70BF">
      <w:pPr>
        <w:pStyle w:val="BodyText"/>
        <w:spacing w:before="6" w:line="244" w:lineRule="auto"/>
        <w:ind w:left="1777" w:right="1052"/>
      </w:pPr>
      <w:r w:rsidRPr="00FB70BF">
        <w:t>Jamie Moffitt, Senior Vice President for Finance and Administration and Chief Financial Officer</w:t>
      </w:r>
    </w:p>
    <w:p w14:paraId="373EEB55" w14:textId="77777777" w:rsidR="00130FA5" w:rsidRPr="00FB70BF" w:rsidRDefault="00000000" w:rsidP="00FB70BF">
      <w:pPr>
        <w:pStyle w:val="BodyText"/>
        <w:ind w:left="1777"/>
      </w:pPr>
      <w:r w:rsidRPr="00FB70BF">
        <w:t>Karen Ford, Acting Provost and Senior Vice President</w:t>
      </w:r>
    </w:p>
    <w:p w14:paraId="03D6E2FD" w14:textId="77777777" w:rsidR="00130FA5" w:rsidRPr="00FB70BF" w:rsidRDefault="00000000" w:rsidP="00FB70BF">
      <w:pPr>
        <w:pStyle w:val="BodyText"/>
        <w:spacing w:before="7"/>
        <w:ind w:left="1787"/>
      </w:pPr>
      <w:r w:rsidRPr="00FB70BF">
        <w:t>Brian Fox, Associate Vice President Budget, Finance and Data Analytics</w:t>
      </w:r>
    </w:p>
    <w:p w14:paraId="65CEC5D8" w14:textId="77777777" w:rsidR="00130FA5" w:rsidRPr="00FB70BF" w:rsidRDefault="00130FA5" w:rsidP="00FB70BF">
      <w:pPr>
        <w:pStyle w:val="BodyText"/>
      </w:pPr>
    </w:p>
    <w:p w14:paraId="4888E9AD" w14:textId="77777777" w:rsidR="00130FA5" w:rsidRPr="00FB70BF" w:rsidRDefault="00000000" w:rsidP="00FB70BF">
      <w:pPr>
        <w:pStyle w:val="BodyText"/>
        <w:spacing w:line="244" w:lineRule="auto"/>
        <w:ind w:left="1777" w:right="2487"/>
      </w:pPr>
      <w:r w:rsidRPr="00FB70BF">
        <w:t xml:space="preserve">Jim Slattery, Associate Vice President for Research Operations Yousef </w:t>
      </w:r>
      <w:proofErr w:type="spellStart"/>
      <w:r w:rsidRPr="00FB70BF">
        <w:t>Alrahmani</w:t>
      </w:r>
      <w:proofErr w:type="spellEnd"/>
      <w:r w:rsidRPr="00FB70BF">
        <w:t>, Divisional Budget Director, OVPRI</w:t>
      </w:r>
    </w:p>
    <w:p w14:paraId="47797581" w14:textId="77777777" w:rsidR="00130FA5" w:rsidRPr="00FB70BF" w:rsidRDefault="00000000" w:rsidP="00FB70BF">
      <w:pPr>
        <w:pStyle w:val="BodyText"/>
        <w:spacing w:before="3"/>
        <w:ind w:left="1780"/>
      </w:pPr>
      <w:r w:rsidRPr="00FB70BF">
        <w:t>Unit CFOs/financial officers</w:t>
      </w:r>
    </w:p>
    <w:p w14:paraId="4799CB82" w14:textId="77777777" w:rsidR="00FB70BF" w:rsidRPr="00FB70BF" w:rsidRDefault="00FB70BF">
      <w:pPr>
        <w:pStyle w:val="BodyText"/>
        <w:spacing w:before="3"/>
        <w:ind w:left="1780"/>
      </w:pPr>
    </w:p>
    <w:sectPr w:rsidR="00FB70BF" w:rsidRPr="00FB70BF" w:rsidSect="00FB70BF">
      <w:type w:val="continuous"/>
      <w:pgSz w:w="12240" w:h="15840"/>
      <w:pgMar w:top="1498" w:right="475" w:bottom="965" w:left="1094" w:header="0"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E3F91" w14:textId="77777777" w:rsidR="00752057" w:rsidRDefault="00752057">
      <w:r>
        <w:separator/>
      </w:r>
    </w:p>
  </w:endnote>
  <w:endnote w:type="continuationSeparator" w:id="0">
    <w:p w14:paraId="78C1C309" w14:textId="77777777" w:rsidR="00752057" w:rsidRDefault="0075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3DB32" w14:textId="77777777" w:rsidR="00130FA5" w:rsidRDefault="00000000">
    <w:pPr>
      <w:pStyle w:val="BodyText"/>
      <w:spacing w:line="14" w:lineRule="auto"/>
      <w:rPr>
        <w:sz w:val="20"/>
      </w:rPr>
    </w:pPr>
    <w:r>
      <w:rPr>
        <w:noProof/>
      </w:rPr>
      <mc:AlternateContent>
        <mc:Choice Requires="wps">
          <w:drawing>
            <wp:anchor distT="0" distB="0" distL="0" distR="0" simplePos="0" relativeHeight="487447552" behindDoc="1" locked="0" layoutInCell="1" allowOverlap="1" wp14:anchorId="021BB661" wp14:editId="7C305BC2">
              <wp:simplePos x="0" y="0"/>
              <wp:positionH relativeFrom="page">
                <wp:posOffset>3333961</wp:posOffset>
              </wp:positionH>
              <wp:positionV relativeFrom="page">
                <wp:posOffset>9424795</wp:posOffset>
              </wp:positionV>
              <wp:extent cx="675005" cy="1898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005" cy="189865"/>
                      </a:xfrm>
                      <a:prstGeom prst="rect">
                        <a:avLst/>
                      </a:prstGeom>
                    </wps:spPr>
                    <wps:txbx>
                      <w:txbxContent>
                        <w:p w14:paraId="663D2E58" w14:textId="77777777" w:rsidR="00130FA5" w:rsidRDefault="00000000">
                          <w:pPr>
                            <w:pStyle w:val="BodyText"/>
                            <w:spacing w:before="24"/>
                            <w:ind w:left="20"/>
                          </w:pPr>
                          <w:r>
                            <w:rPr>
                              <w:w w:val="105"/>
                            </w:rPr>
                            <w:t>Page</w:t>
                          </w:r>
                          <w:r>
                            <w:rPr>
                              <w:spacing w:val="-12"/>
                              <w:w w:val="105"/>
                            </w:rPr>
                            <w:t xml:space="preserve"> </w:t>
                          </w:r>
                          <w:r>
                            <w:rPr>
                              <w:w w:val="105"/>
                            </w:rPr>
                            <w:fldChar w:fldCharType="begin"/>
                          </w:r>
                          <w:r>
                            <w:rPr>
                              <w:w w:val="105"/>
                            </w:rPr>
                            <w:instrText xml:space="preserve"> PAGE </w:instrText>
                          </w:r>
                          <w:r>
                            <w:rPr>
                              <w:w w:val="105"/>
                            </w:rPr>
                            <w:fldChar w:fldCharType="separate"/>
                          </w:r>
                          <w:r>
                            <w:rPr>
                              <w:w w:val="105"/>
                            </w:rPr>
                            <w:t>1</w:t>
                          </w:r>
                          <w:r>
                            <w:rPr>
                              <w:w w:val="105"/>
                            </w:rPr>
                            <w:fldChar w:fldCharType="end"/>
                          </w:r>
                          <w:r>
                            <w:rPr>
                              <w:spacing w:val="-12"/>
                              <w:w w:val="105"/>
                            </w:rPr>
                            <w:t xml:space="preserve"> </w:t>
                          </w:r>
                          <w:r>
                            <w:rPr>
                              <w:w w:val="105"/>
                            </w:rPr>
                            <w:t>of</w:t>
                          </w:r>
                          <w:r>
                            <w:rPr>
                              <w:spacing w:val="-11"/>
                              <w:w w:val="105"/>
                            </w:rPr>
                            <w:t xml:space="preserve"> </w:t>
                          </w:r>
                          <w:r>
                            <w:rPr>
                              <w:spacing w:val="-10"/>
                              <w:w w:val="105"/>
                            </w:rPr>
                            <w:fldChar w:fldCharType="begin"/>
                          </w:r>
                          <w:r>
                            <w:rPr>
                              <w:spacing w:val="-10"/>
                              <w:w w:val="105"/>
                            </w:rPr>
                            <w:instrText xml:space="preserve"> NUMPAGES </w:instrText>
                          </w:r>
                          <w:r>
                            <w:rPr>
                              <w:spacing w:val="-10"/>
                              <w:w w:val="105"/>
                            </w:rPr>
                            <w:fldChar w:fldCharType="separate"/>
                          </w:r>
                          <w:r>
                            <w:rPr>
                              <w:spacing w:val="-10"/>
                              <w:w w:val="105"/>
                            </w:rPr>
                            <w:t>3</w:t>
                          </w:r>
                          <w:r>
                            <w:rPr>
                              <w:spacing w:val="-10"/>
                              <w:w w:val="105"/>
                            </w:rPr>
                            <w:fldChar w:fldCharType="end"/>
                          </w:r>
                        </w:p>
                      </w:txbxContent>
                    </wps:txbx>
                    <wps:bodyPr wrap="square" lIns="0" tIns="0" rIns="0" bIns="0" rtlCol="0">
                      <a:noAutofit/>
                    </wps:bodyPr>
                  </wps:wsp>
                </a:graphicData>
              </a:graphic>
            </wp:anchor>
          </w:drawing>
        </mc:Choice>
        <mc:Fallback>
          <w:pict>
            <v:shapetype w14:anchorId="021BB661" id="_x0000_t202" coordsize="21600,21600" o:spt="202" path="m,l,21600r21600,l21600,xe">
              <v:stroke joinstyle="miter"/>
              <v:path gradientshapeok="t" o:connecttype="rect"/>
            </v:shapetype>
            <v:shape id="Textbox 1" o:spid="_x0000_s1026" type="#_x0000_t202" style="position:absolute;margin-left:262.5pt;margin-top:742.1pt;width:53.15pt;height:14.95pt;z-index:-1586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" filled="f" stroked="f">
              <v:textbox inset="0,0,0,0">
                <w:txbxContent>
                  <w:p w14:paraId="663D2E58" w14:textId="77777777" w:rsidR="00130FA5" w:rsidRDefault="00000000">
                    <w:pPr>
                      <w:pStyle w:val="BodyText"/>
                      <w:spacing w:before="24"/>
                      <w:ind w:left="20"/>
                    </w:pPr>
                    <w:r>
                      <w:rPr>
                        <w:w w:val="105"/>
                      </w:rPr>
                      <w:t>Page</w:t>
                    </w:r>
                    <w:r>
                      <w:rPr>
                        <w:spacing w:val="-12"/>
                        <w:w w:val="105"/>
                      </w:rPr>
                      <w:t xml:space="preserve"> </w:t>
                    </w:r>
                    <w:r>
                      <w:rPr>
                        <w:w w:val="105"/>
                      </w:rPr>
                      <w:fldChar w:fldCharType="begin"/>
                    </w:r>
                    <w:r>
                      <w:rPr>
                        <w:w w:val="105"/>
                      </w:rPr>
                      <w:instrText xml:space="preserve"> PAGE </w:instrText>
                    </w:r>
                    <w:r>
                      <w:rPr>
                        <w:w w:val="105"/>
                      </w:rPr>
                      <w:fldChar w:fldCharType="separate"/>
                    </w:r>
                    <w:r>
                      <w:rPr>
                        <w:w w:val="105"/>
                      </w:rPr>
                      <w:t>1</w:t>
                    </w:r>
                    <w:r>
                      <w:rPr>
                        <w:w w:val="105"/>
                      </w:rPr>
                      <w:fldChar w:fldCharType="end"/>
                    </w:r>
                    <w:r>
                      <w:rPr>
                        <w:spacing w:val="-12"/>
                        <w:w w:val="105"/>
                      </w:rPr>
                      <w:t xml:space="preserve"> </w:t>
                    </w:r>
                    <w:r>
                      <w:rPr>
                        <w:w w:val="105"/>
                      </w:rPr>
                      <w:t>of</w:t>
                    </w:r>
                    <w:r>
                      <w:rPr>
                        <w:spacing w:val="-11"/>
                        <w:w w:val="105"/>
                      </w:rPr>
                      <w:t xml:space="preserve"> </w:t>
                    </w:r>
                    <w:r>
                      <w:rPr>
                        <w:spacing w:val="-10"/>
                        <w:w w:val="105"/>
                      </w:rPr>
                      <w:fldChar w:fldCharType="begin"/>
                    </w:r>
                    <w:r>
                      <w:rPr>
                        <w:spacing w:val="-10"/>
                        <w:w w:val="105"/>
                      </w:rPr>
                      <w:instrText xml:space="preserve"> NUMPAGES </w:instrText>
                    </w:r>
                    <w:r>
                      <w:rPr>
                        <w:spacing w:val="-10"/>
                        <w:w w:val="105"/>
                      </w:rPr>
                      <w:fldChar w:fldCharType="separate"/>
                    </w:r>
                    <w:r>
                      <w:rPr>
                        <w:spacing w:val="-10"/>
                        <w:w w:val="105"/>
                      </w:rPr>
                      <w:t>3</w:t>
                    </w:r>
                    <w:r>
                      <w:rPr>
                        <w:spacing w:val="-10"/>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9ECE5" w14:textId="77777777" w:rsidR="00752057" w:rsidRDefault="00752057">
      <w:r>
        <w:separator/>
      </w:r>
    </w:p>
  </w:footnote>
  <w:footnote w:type="continuationSeparator" w:id="0">
    <w:p w14:paraId="64046F0F" w14:textId="77777777" w:rsidR="00752057" w:rsidRDefault="00752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37038"/>
    <w:multiLevelType w:val="hybridMultilevel"/>
    <w:tmpl w:val="A40CF2F6"/>
    <w:lvl w:ilvl="0" w:tplc="80886E30">
      <w:numFmt w:val="bullet"/>
      <w:lvlText w:val="•"/>
      <w:lvlJc w:val="left"/>
      <w:pPr>
        <w:ind w:left="1819" w:hanging="361"/>
      </w:pPr>
      <w:rPr>
        <w:rFonts w:ascii="Arial" w:eastAsia="Arial" w:hAnsi="Arial" w:cs="Arial" w:hint="default"/>
        <w:b w:val="0"/>
        <w:bCs w:val="0"/>
        <w:i w:val="0"/>
        <w:iCs w:val="0"/>
        <w:spacing w:val="0"/>
        <w:w w:val="131"/>
        <w:sz w:val="22"/>
        <w:szCs w:val="22"/>
        <w:lang w:val="en-US" w:eastAsia="en-US" w:bidi="ar-SA"/>
      </w:rPr>
    </w:lvl>
    <w:lvl w:ilvl="1" w:tplc="BCB2A5FE">
      <w:numFmt w:val="bullet"/>
      <w:lvlText w:val="•"/>
      <w:lvlJc w:val="left"/>
      <w:pPr>
        <w:ind w:left="2704" w:hanging="361"/>
      </w:pPr>
      <w:rPr>
        <w:rFonts w:hint="default"/>
        <w:lang w:val="en-US" w:eastAsia="en-US" w:bidi="ar-SA"/>
      </w:rPr>
    </w:lvl>
    <w:lvl w:ilvl="2" w:tplc="7EEE0D42">
      <w:numFmt w:val="bullet"/>
      <w:lvlText w:val="•"/>
      <w:lvlJc w:val="left"/>
      <w:pPr>
        <w:ind w:left="3588" w:hanging="361"/>
      </w:pPr>
      <w:rPr>
        <w:rFonts w:hint="default"/>
        <w:lang w:val="en-US" w:eastAsia="en-US" w:bidi="ar-SA"/>
      </w:rPr>
    </w:lvl>
    <w:lvl w:ilvl="3" w:tplc="E90E605A">
      <w:numFmt w:val="bullet"/>
      <w:lvlText w:val="•"/>
      <w:lvlJc w:val="left"/>
      <w:pPr>
        <w:ind w:left="4472" w:hanging="361"/>
      </w:pPr>
      <w:rPr>
        <w:rFonts w:hint="default"/>
        <w:lang w:val="en-US" w:eastAsia="en-US" w:bidi="ar-SA"/>
      </w:rPr>
    </w:lvl>
    <w:lvl w:ilvl="4" w:tplc="E5A0DB8E">
      <w:numFmt w:val="bullet"/>
      <w:lvlText w:val="•"/>
      <w:lvlJc w:val="left"/>
      <w:pPr>
        <w:ind w:left="5356" w:hanging="361"/>
      </w:pPr>
      <w:rPr>
        <w:rFonts w:hint="default"/>
        <w:lang w:val="en-US" w:eastAsia="en-US" w:bidi="ar-SA"/>
      </w:rPr>
    </w:lvl>
    <w:lvl w:ilvl="5" w:tplc="88186316">
      <w:numFmt w:val="bullet"/>
      <w:lvlText w:val="•"/>
      <w:lvlJc w:val="left"/>
      <w:pPr>
        <w:ind w:left="6240" w:hanging="361"/>
      </w:pPr>
      <w:rPr>
        <w:rFonts w:hint="default"/>
        <w:lang w:val="en-US" w:eastAsia="en-US" w:bidi="ar-SA"/>
      </w:rPr>
    </w:lvl>
    <w:lvl w:ilvl="6" w:tplc="DC761518">
      <w:numFmt w:val="bullet"/>
      <w:lvlText w:val="•"/>
      <w:lvlJc w:val="left"/>
      <w:pPr>
        <w:ind w:left="7124" w:hanging="361"/>
      </w:pPr>
      <w:rPr>
        <w:rFonts w:hint="default"/>
        <w:lang w:val="en-US" w:eastAsia="en-US" w:bidi="ar-SA"/>
      </w:rPr>
    </w:lvl>
    <w:lvl w:ilvl="7" w:tplc="AAF4F096">
      <w:numFmt w:val="bullet"/>
      <w:lvlText w:val="•"/>
      <w:lvlJc w:val="left"/>
      <w:pPr>
        <w:ind w:left="8008" w:hanging="361"/>
      </w:pPr>
      <w:rPr>
        <w:rFonts w:hint="default"/>
        <w:lang w:val="en-US" w:eastAsia="en-US" w:bidi="ar-SA"/>
      </w:rPr>
    </w:lvl>
    <w:lvl w:ilvl="8" w:tplc="513AA2C0">
      <w:numFmt w:val="bullet"/>
      <w:lvlText w:val="•"/>
      <w:lvlJc w:val="left"/>
      <w:pPr>
        <w:ind w:left="8892" w:hanging="361"/>
      </w:pPr>
      <w:rPr>
        <w:rFonts w:hint="default"/>
        <w:lang w:val="en-US" w:eastAsia="en-US" w:bidi="ar-SA"/>
      </w:rPr>
    </w:lvl>
  </w:abstractNum>
  <w:num w:numId="1" w16cid:durableId="1408697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30FA5"/>
    <w:rsid w:val="00130FA5"/>
    <w:rsid w:val="00707454"/>
    <w:rsid w:val="00752057"/>
    <w:rsid w:val="00FB70BF"/>
    <w:rsid w:val="00FD6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FDB28"/>
  <w15:docId w15:val="{846B3BE4-D124-0549-A56F-E5D48C23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60"/>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rPr>
  </w:style>
  <w:style w:type="paragraph" w:styleId="ListParagraph">
    <w:name w:val="List Paragraph"/>
    <w:basedOn w:val="Normal"/>
    <w:uiPriority w:val="1"/>
    <w:qFormat/>
    <w:pPr>
      <w:spacing w:before="14"/>
      <w:ind w:left="1820" w:hanging="360"/>
    </w:pPr>
    <w:rPr>
      <w:rFonts w:ascii="Times New Roman" w:eastAsia="Times New Roman" w:hAnsi="Times New Roman" w:cs="Times New Roman"/>
    </w:rPr>
  </w:style>
  <w:style w:type="paragraph" w:customStyle="1" w:styleId="TableParagraph">
    <w:name w:val="Table Paragraph"/>
    <w:basedOn w:val="Normal"/>
    <w:uiPriority w:val="1"/>
    <w:qFormat/>
    <w:pPr>
      <w:spacing w:before="3"/>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832</Words>
  <Characters>4902</Characters>
  <Application>Microsoft Office Word</Application>
  <DocSecurity>0</DocSecurity>
  <Lines>153</Lines>
  <Paragraphs>88</Paragraphs>
  <ScaleCrop>false</ScaleCrop>
  <HeadingPairs>
    <vt:vector size="2" baseType="variant">
      <vt:variant>
        <vt:lpstr>Title</vt:lpstr>
      </vt:variant>
      <vt:variant>
        <vt:i4>1</vt:i4>
      </vt:variant>
    </vt:vector>
  </HeadingPairs>
  <TitlesOfParts>
    <vt:vector size="1" baseType="lpstr">
      <vt:lpstr>Microsoft Word - OVPRI letterhead template2.docx</vt:lpstr>
    </vt:vector>
  </TitlesOfParts>
  <Manager/>
  <Company>University of Oregon</Company>
  <LinksUpToDate>false</LinksUpToDate>
  <CharactersWithSpaces>5654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FY 25 Beginning Budget ICC Allocations</dc:title>
  <dc:subject/>
  <dc:creator>OVPRI</dc:creator>
  <cp:keywords/>
  <dc:description/>
  <cp:lastModifiedBy>Mara Fields</cp:lastModifiedBy>
  <cp:revision>3</cp:revision>
  <dcterms:created xsi:type="dcterms:W3CDTF">2024-10-08T15:34:00Z</dcterms:created>
  <dcterms:modified xsi:type="dcterms:W3CDTF">2024-10-08T15:49:00Z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0x0101000214073963532840AB02EE539921A562</vt:lpwstr>
  </property>
  <property fmtid="{D5CDD505-2E9C-101B-9397-08002B2CF9AE}" pid="3" name="Created">
    <vt:filetime>2024-04-01T10:00:00Z</vt:filetime>
  </property>
  <property fmtid="{D5CDD505-2E9C-101B-9397-08002B2CF9AE}" pid="4" name="Creator">
    <vt:lpwstr>Acrobat PDFMaker 24 for Word</vt:lpwstr>
  </property>
  <property fmtid="{D5CDD505-2E9C-101B-9397-08002B2CF9AE}" pid="5" name="LastSaved">
    <vt:filetime>2024-10-07T10:00:00Z</vt:filetime>
  </property>
  <property fmtid="{D5CDD505-2E9C-101B-9397-08002B2CF9AE}" pid="6" name="Producer">
    <vt:lpwstr>Adobe PDF Library 24.1.149</vt:lpwstr>
  </property>
  <property fmtid="{D5CDD505-2E9C-101B-9397-08002B2CF9AE}" pid="7" name="SourceModified">
    <vt:lpwstr/>
  </property>
</Properties>
</file>