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18DB" w14:textId="4BF01791" w:rsidR="00014E99" w:rsidRPr="003B3BC3" w:rsidRDefault="00014E99" w:rsidP="00014E99">
      <w:pPr>
        <w:pStyle w:val="NormalWeb"/>
        <w:rPr>
          <w:rFonts w:ascii="Arial" w:hAnsi="Arial" w:cs="Arial"/>
        </w:rPr>
      </w:pPr>
      <w:r w:rsidRPr="003B3BC3">
        <w:rPr>
          <w:rFonts w:ascii="Arial" w:hAnsi="Arial" w:cs="Arial"/>
          <w:b/>
          <w:bCs/>
        </w:rPr>
        <w:t>Research Advanced Computing Services</w:t>
      </w:r>
      <w:r w:rsidRPr="003B3BC3">
        <w:rPr>
          <w:rFonts w:ascii="Arial" w:hAnsi="Arial" w:cs="Arial"/>
        </w:rPr>
        <w:t xml:space="preserve"> supports research computing at the University of Oregon by providing large-scale computing resources, performant storage, high-speed data transfer capabilities, and support for data sharing. Additionally, RACS provides consulting services in the computational sciences, training on the use RACS resources, and will support grant proposals either through formal partnerships or by providing letters of support. </w:t>
      </w:r>
    </w:p>
    <w:p w14:paraId="21261CED" w14:textId="5365761A" w:rsidR="00014E99" w:rsidRDefault="00014E99" w:rsidP="00014E99">
      <w:pPr>
        <w:rPr>
          <w:rFonts w:ascii="Arial" w:hAnsi="Arial" w:cs="Arial"/>
        </w:rPr>
      </w:pPr>
      <w:r w:rsidRPr="003B3BC3">
        <w:rPr>
          <w:rFonts w:ascii="Arial" w:hAnsi="Arial" w:cs="Arial"/>
        </w:rPr>
        <w:t xml:space="preserve">RACS is home to the University of Oregon's flagship research computing cluster, </w:t>
      </w:r>
      <w:proofErr w:type="spellStart"/>
      <w:r w:rsidRPr="003B3BC3">
        <w:rPr>
          <w:rFonts w:ascii="Arial" w:hAnsi="Arial" w:cs="Arial"/>
        </w:rPr>
        <w:t>Talapas</w:t>
      </w:r>
      <w:proofErr w:type="spellEnd"/>
      <w:r w:rsidRPr="003B3BC3">
        <w:rPr>
          <w:rFonts w:ascii="Arial" w:hAnsi="Arial" w:cs="Arial"/>
        </w:rPr>
        <w:t xml:space="preserve">. </w:t>
      </w:r>
      <w:proofErr w:type="spellStart"/>
      <w:r w:rsidRPr="003B3BC3">
        <w:rPr>
          <w:rFonts w:ascii="Arial" w:hAnsi="Arial" w:cs="Arial"/>
        </w:rPr>
        <w:t>Talapas</w:t>
      </w:r>
      <w:proofErr w:type="spellEnd"/>
      <w:r w:rsidRPr="003B3BC3">
        <w:rPr>
          <w:rFonts w:ascii="Arial" w:hAnsi="Arial" w:cs="Arial"/>
        </w:rPr>
        <w:t xml:space="preserve"> is a heterogeneous supercomputing cluster capable of performing over 250 trillion calculations every second and providing 1.5 petabytes (1,500 trillion bytes) of high performance, parallel data storage. </w:t>
      </w:r>
      <w:proofErr w:type="spellStart"/>
      <w:r w:rsidRPr="003B3BC3">
        <w:rPr>
          <w:rFonts w:ascii="Arial" w:hAnsi="Arial" w:cs="Arial"/>
        </w:rPr>
        <w:t>Talapas</w:t>
      </w:r>
      <w:proofErr w:type="spellEnd"/>
      <w:r w:rsidRPr="003B3BC3">
        <w:rPr>
          <w:rFonts w:ascii="Arial" w:hAnsi="Arial" w:cs="Arial"/>
        </w:rPr>
        <w:t xml:space="preserve"> makes three distinct classes of compute nodes available to researchers: standard compute nodes built around the Intel "Broadwell" generation of processor, GPU compute nodes equipped with dual </w:t>
      </w:r>
      <w:proofErr w:type="spellStart"/>
      <w:r w:rsidRPr="003B3BC3">
        <w:rPr>
          <w:rFonts w:ascii="Arial" w:hAnsi="Arial" w:cs="Arial"/>
        </w:rPr>
        <w:t>nVidia</w:t>
      </w:r>
      <w:proofErr w:type="spellEnd"/>
      <w:r w:rsidRPr="003B3BC3">
        <w:rPr>
          <w:rFonts w:ascii="Arial" w:hAnsi="Arial" w:cs="Arial"/>
        </w:rPr>
        <w:t xml:space="preserve"> Tesla K80 accelerators, and large memory servers. </w:t>
      </w:r>
    </w:p>
    <w:p w14:paraId="7670A6DF" w14:textId="77777777" w:rsidR="003B3BC3" w:rsidRPr="003B3BC3" w:rsidRDefault="003B3BC3" w:rsidP="00014E99">
      <w:pPr>
        <w:rPr>
          <w:rFonts w:ascii="Arial" w:hAnsi="Arial" w:cs="Arial"/>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01"/>
        <w:gridCol w:w="1342"/>
        <w:gridCol w:w="1730"/>
        <w:gridCol w:w="1208"/>
        <w:gridCol w:w="1178"/>
        <w:gridCol w:w="1724"/>
        <w:gridCol w:w="1667"/>
      </w:tblGrid>
      <w:tr w:rsidR="00014E99" w:rsidRPr="003B3BC3" w14:paraId="218996C2" w14:textId="77777777" w:rsidTr="00014E99">
        <w:trPr>
          <w:tblHeader/>
          <w:tblCellSpacing w:w="15" w:type="dxa"/>
        </w:trPr>
        <w:tc>
          <w:tcPr>
            <w:tcW w:w="0" w:type="auto"/>
            <w:vAlign w:val="center"/>
            <w:hideMark/>
          </w:tcPr>
          <w:p w14:paraId="16C6675F" w14:textId="77777777" w:rsidR="00014E99" w:rsidRPr="003B3BC3" w:rsidRDefault="00014E99">
            <w:pPr>
              <w:jc w:val="center"/>
              <w:rPr>
                <w:rFonts w:ascii="Arial" w:hAnsi="Arial" w:cs="Arial"/>
                <w:b/>
                <w:bCs/>
              </w:rPr>
            </w:pPr>
            <w:r w:rsidRPr="003B3BC3">
              <w:rPr>
                <w:rStyle w:val="Strong"/>
                <w:rFonts w:ascii="Arial" w:hAnsi="Arial" w:cs="Arial"/>
              </w:rPr>
              <w:t>Qty</w:t>
            </w:r>
          </w:p>
        </w:tc>
        <w:tc>
          <w:tcPr>
            <w:tcW w:w="0" w:type="auto"/>
            <w:vAlign w:val="center"/>
            <w:hideMark/>
          </w:tcPr>
          <w:p w14:paraId="54786879" w14:textId="77777777" w:rsidR="00014E99" w:rsidRPr="003B3BC3" w:rsidRDefault="00014E99">
            <w:pPr>
              <w:jc w:val="center"/>
              <w:rPr>
                <w:rFonts w:ascii="Arial" w:hAnsi="Arial" w:cs="Arial"/>
                <w:b/>
                <w:bCs/>
              </w:rPr>
            </w:pPr>
            <w:r w:rsidRPr="003B3BC3">
              <w:rPr>
                <w:rStyle w:val="Strong"/>
                <w:rFonts w:ascii="Arial" w:hAnsi="Arial" w:cs="Arial"/>
              </w:rPr>
              <w:t>Node Type</w:t>
            </w:r>
          </w:p>
        </w:tc>
        <w:tc>
          <w:tcPr>
            <w:tcW w:w="0" w:type="auto"/>
            <w:vAlign w:val="center"/>
            <w:hideMark/>
          </w:tcPr>
          <w:p w14:paraId="2A4CD64E" w14:textId="77777777" w:rsidR="00014E99" w:rsidRPr="003B3BC3" w:rsidRDefault="00014E99">
            <w:pPr>
              <w:jc w:val="center"/>
              <w:rPr>
                <w:rFonts w:ascii="Arial" w:hAnsi="Arial" w:cs="Arial"/>
                <w:b/>
                <w:bCs/>
              </w:rPr>
            </w:pPr>
            <w:r w:rsidRPr="003B3BC3">
              <w:rPr>
                <w:rStyle w:val="Strong"/>
                <w:rFonts w:ascii="Arial" w:hAnsi="Arial" w:cs="Arial"/>
              </w:rPr>
              <w:t>Processors (total cores)</w:t>
            </w:r>
          </w:p>
        </w:tc>
        <w:tc>
          <w:tcPr>
            <w:tcW w:w="0" w:type="auto"/>
            <w:vAlign w:val="center"/>
            <w:hideMark/>
          </w:tcPr>
          <w:p w14:paraId="60C63AD6" w14:textId="77777777" w:rsidR="00014E99" w:rsidRPr="003B3BC3" w:rsidRDefault="00014E99">
            <w:pPr>
              <w:jc w:val="center"/>
              <w:rPr>
                <w:rFonts w:ascii="Arial" w:hAnsi="Arial" w:cs="Arial"/>
                <w:b/>
                <w:bCs/>
              </w:rPr>
            </w:pPr>
            <w:r w:rsidRPr="003B3BC3">
              <w:rPr>
                <w:rStyle w:val="Strong"/>
                <w:rFonts w:ascii="Arial" w:hAnsi="Arial" w:cs="Arial"/>
              </w:rPr>
              <w:t>Memory</w:t>
            </w:r>
          </w:p>
        </w:tc>
        <w:tc>
          <w:tcPr>
            <w:tcW w:w="0" w:type="auto"/>
            <w:vAlign w:val="center"/>
            <w:hideMark/>
          </w:tcPr>
          <w:p w14:paraId="2FCC0F0A" w14:textId="77777777" w:rsidR="00014E99" w:rsidRPr="003B3BC3" w:rsidRDefault="00014E99">
            <w:pPr>
              <w:jc w:val="center"/>
              <w:rPr>
                <w:rFonts w:ascii="Arial" w:hAnsi="Arial" w:cs="Arial"/>
                <w:b/>
                <w:bCs/>
              </w:rPr>
            </w:pPr>
            <w:r w:rsidRPr="003B3BC3">
              <w:rPr>
                <w:rStyle w:val="Strong"/>
                <w:rFonts w:ascii="Arial" w:hAnsi="Arial" w:cs="Arial"/>
              </w:rPr>
              <w:t>Local Storage</w:t>
            </w:r>
          </w:p>
        </w:tc>
        <w:tc>
          <w:tcPr>
            <w:tcW w:w="0" w:type="auto"/>
            <w:vAlign w:val="center"/>
            <w:hideMark/>
          </w:tcPr>
          <w:p w14:paraId="4269D0AB" w14:textId="77777777" w:rsidR="00014E99" w:rsidRPr="003B3BC3" w:rsidRDefault="00014E99">
            <w:pPr>
              <w:jc w:val="center"/>
              <w:rPr>
                <w:rFonts w:ascii="Arial" w:hAnsi="Arial" w:cs="Arial"/>
                <w:b/>
                <w:bCs/>
              </w:rPr>
            </w:pPr>
            <w:r w:rsidRPr="003B3BC3">
              <w:rPr>
                <w:rStyle w:val="Strong"/>
                <w:rFonts w:ascii="Arial" w:hAnsi="Arial" w:cs="Arial"/>
              </w:rPr>
              <w:t>Networking</w:t>
            </w:r>
          </w:p>
        </w:tc>
        <w:tc>
          <w:tcPr>
            <w:tcW w:w="0" w:type="auto"/>
            <w:vAlign w:val="center"/>
            <w:hideMark/>
          </w:tcPr>
          <w:p w14:paraId="70770862" w14:textId="77777777" w:rsidR="00014E99" w:rsidRPr="003B3BC3" w:rsidRDefault="00014E99">
            <w:pPr>
              <w:jc w:val="center"/>
              <w:rPr>
                <w:rFonts w:ascii="Arial" w:hAnsi="Arial" w:cs="Arial"/>
                <w:b/>
                <w:bCs/>
              </w:rPr>
            </w:pPr>
            <w:r w:rsidRPr="003B3BC3">
              <w:rPr>
                <w:rStyle w:val="Strong"/>
                <w:rFonts w:ascii="Arial" w:hAnsi="Arial" w:cs="Arial"/>
              </w:rPr>
              <w:t>Accelerator</w:t>
            </w:r>
          </w:p>
        </w:tc>
      </w:tr>
      <w:tr w:rsidR="00014E99" w:rsidRPr="003B3BC3" w14:paraId="09A25DF6" w14:textId="77777777" w:rsidTr="00014E99">
        <w:trPr>
          <w:tblCellSpacing w:w="15" w:type="dxa"/>
        </w:trPr>
        <w:tc>
          <w:tcPr>
            <w:tcW w:w="0" w:type="auto"/>
            <w:vAlign w:val="center"/>
            <w:hideMark/>
          </w:tcPr>
          <w:p w14:paraId="36694D65" w14:textId="77777777" w:rsidR="00014E99" w:rsidRPr="003B3BC3" w:rsidRDefault="00014E99">
            <w:pPr>
              <w:rPr>
                <w:rFonts w:ascii="Arial" w:hAnsi="Arial" w:cs="Arial"/>
              </w:rPr>
            </w:pPr>
            <w:r w:rsidRPr="003B3BC3">
              <w:rPr>
                <w:rFonts w:ascii="Arial" w:hAnsi="Arial" w:cs="Arial"/>
              </w:rPr>
              <w:t>96</w:t>
            </w:r>
          </w:p>
        </w:tc>
        <w:tc>
          <w:tcPr>
            <w:tcW w:w="0" w:type="auto"/>
            <w:vAlign w:val="center"/>
            <w:hideMark/>
          </w:tcPr>
          <w:p w14:paraId="00CAE906" w14:textId="77777777" w:rsidR="00014E99" w:rsidRPr="003B3BC3" w:rsidRDefault="00014E99">
            <w:pPr>
              <w:rPr>
                <w:rFonts w:ascii="Arial" w:hAnsi="Arial" w:cs="Arial"/>
              </w:rPr>
            </w:pPr>
            <w:r w:rsidRPr="003B3BC3">
              <w:rPr>
                <w:rFonts w:ascii="Arial" w:hAnsi="Arial" w:cs="Arial"/>
              </w:rPr>
              <w:t>Standard Nodes</w:t>
            </w:r>
          </w:p>
        </w:tc>
        <w:tc>
          <w:tcPr>
            <w:tcW w:w="0" w:type="auto"/>
            <w:vAlign w:val="center"/>
            <w:hideMark/>
          </w:tcPr>
          <w:p w14:paraId="035A29AE" w14:textId="77777777" w:rsidR="00014E99" w:rsidRPr="003B3BC3" w:rsidRDefault="00014E99">
            <w:pPr>
              <w:rPr>
                <w:rFonts w:ascii="Arial" w:hAnsi="Arial" w:cs="Arial"/>
              </w:rPr>
            </w:pPr>
            <w:r w:rsidRPr="003B3BC3">
              <w:rPr>
                <w:rFonts w:ascii="Arial" w:hAnsi="Arial" w:cs="Arial"/>
              </w:rPr>
              <w:t>dual E5-2690v4 (28 cores)</w:t>
            </w:r>
          </w:p>
        </w:tc>
        <w:tc>
          <w:tcPr>
            <w:tcW w:w="0" w:type="auto"/>
            <w:vAlign w:val="center"/>
            <w:hideMark/>
          </w:tcPr>
          <w:p w14:paraId="34FDA8EB" w14:textId="77777777" w:rsidR="00014E99" w:rsidRPr="003B3BC3" w:rsidRDefault="00014E99">
            <w:pPr>
              <w:rPr>
                <w:rFonts w:ascii="Arial" w:hAnsi="Arial" w:cs="Arial"/>
              </w:rPr>
            </w:pPr>
            <w:r w:rsidRPr="003B3BC3">
              <w:rPr>
                <w:rFonts w:ascii="Arial" w:hAnsi="Arial" w:cs="Arial"/>
              </w:rPr>
              <w:t>128GB</w:t>
            </w:r>
          </w:p>
        </w:tc>
        <w:tc>
          <w:tcPr>
            <w:tcW w:w="0" w:type="auto"/>
            <w:vAlign w:val="center"/>
            <w:hideMark/>
          </w:tcPr>
          <w:p w14:paraId="024600E5" w14:textId="77777777" w:rsidR="00014E99" w:rsidRPr="003B3BC3" w:rsidRDefault="00014E99">
            <w:pPr>
              <w:rPr>
                <w:rFonts w:ascii="Arial" w:hAnsi="Arial" w:cs="Arial"/>
              </w:rPr>
            </w:pPr>
            <w:r w:rsidRPr="003B3BC3">
              <w:rPr>
                <w:rFonts w:ascii="Arial" w:hAnsi="Arial" w:cs="Arial"/>
              </w:rPr>
              <w:t>200GB SSD</w:t>
            </w:r>
          </w:p>
        </w:tc>
        <w:tc>
          <w:tcPr>
            <w:tcW w:w="0" w:type="auto"/>
            <w:vAlign w:val="center"/>
            <w:hideMark/>
          </w:tcPr>
          <w:p w14:paraId="529D0A40" w14:textId="77777777" w:rsidR="00014E99" w:rsidRPr="003B3BC3" w:rsidRDefault="00014E99">
            <w:pPr>
              <w:rPr>
                <w:rFonts w:ascii="Arial" w:hAnsi="Arial" w:cs="Arial"/>
              </w:rPr>
            </w:pPr>
            <w:r w:rsidRPr="003B3BC3">
              <w:rPr>
                <w:rFonts w:ascii="Arial" w:hAnsi="Arial" w:cs="Arial"/>
              </w:rPr>
              <w:t>Single Port EDR InfiniBand</w:t>
            </w:r>
          </w:p>
        </w:tc>
        <w:tc>
          <w:tcPr>
            <w:tcW w:w="0" w:type="auto"/>
            <w:vAlign w:val="center"/>
            <w:hideMark/>
          </w:tcPr>
          <w:p w14:paraId="6D9F0C28" w14:textId="77777777" w:rsidR="00014E99" w:rsidRPr="003B3BC3" w:rsidRDefault="00014E99">
            <w:pPr>
              <w:rPr>
                <w:rFonts w:ascii="Arial" w:hAnsi="Arial" w:cs="Arial"/>
              </w:rPr>
            </w:pPr>
            <w:r w:rsidRPr="003B3BC3">
              <w:rPr>
                <w:rFonts w:ascii="Arial" w:hAnsi="Arial" w:cs="Arial"/>
              </w:rPr>
              <w:t>N/A</w:t>
            </w:r>
          </w:p>
        </w:tc>
      </w:tr>
      <w:tr w:rsidR="00014E99" w:rsidRPr="003B3BC3" w14:paraId="76CA67CF" w14:textId="77777777" w:rsidTr="00014E99">
        <w:trPr>
          <w:tblCellSpacing w:w="15" w:type="dxa"/>
        </w:trPr>
        <w:tc>
          <w:tcPr>
            <w:tcW w:w="0" w:type="auto"/>
            <w:vAlign w:val="center"/>
            <w:hideMark/>
          </w:tcPr>
          <w:p w14:paraId="34FB4A8F" w14:textId="77777777" w:rsidR="00014E99" w:rsidRPr="003B3BC3" w:rsidRDefault="00014E99">
            <w:pPr>
              <w:rPr>
                <w:rFonts w:ascii="Arial" w:hAnsi="Arial" w:cs="Arial"/>
              </w:rPr>
            </w:pPr>
            <w:r w:rsidRPr="003B3BC3">
              <w:rPr>
                <w:rFonts w:ascii="Arial" w:hAnsi="Arial" w:cs="Arial"/>
              </w:rPr>
              <w:t>24</w:t>
            </w:r>
          </w:p>
        </w:tc>
        <w:tc>
          <w:tcPr>
            <w:tcW w:w="0" w:type="auto"/>
            <w:vAlign w:val="center"/>
            <w:hideMark/>
          </w:tcPr>
          <w:p w14:paraId="27681F86" w14:textId="77777777" w:rsidR="00014E99" w:rsidRPr="003B3BC3" w:rsidRDefault="00014E99">
            <w:pPr>
              <w:rPr>
                <w:rFonts w:ascii="Arial" w:hAnsi="Arial" w:cs="Arial"/>
              </w:rPr>
            </w:pPr>
            <w:r w:rsidRPr="003B3BC3">
              <w:rPr>
                <w:rFonts w:ascii="Arial" w:hAnsi="Arial" w:cs="Arial"/>
              </w:rPr>
              <w:t>GPU Nodes</w:t>
            </w:r>
          </w:p>
        </w:tc>
        <w:tc>
          <w:tcPr>
            <w:tcW w:w="0" w:type="auto"/>
            <w:vAlign w:val="center"/>
            <w:hideMark/>
          </w:tcPr>
          <w:p w14:paraId="608E2DC5" w14:textId="77777777" w:rsidR="00014E99" w:rsidRPr="003B3BC3" w:rsidRDefault="00014E99">
            <w:pPr>
              <w:rPr>
                <w:rFonts w:ascii="Arial" w:hAnsi="Arial" w:cs="Arial"/>
              </w:rPr>
            </w:pPr>
            <w:r w:rsidRPr="003B3BC3">
              <w:rPr>
                <w:rFonts w:ascii="Arial" w:hAnsi="Arial" w:cs="Arial"/>
              </w:rPr>
              <w:t>dual E5-2690v4 (28 cores)</w:t>
            </w:r>
          </w:p>
        </w:tc>
        <w:tc>
          <w:tcPr>
            <w:tcW w:w="0" w:type="auto"/>
            <w:vAlign w:val="center"/>
            <w:hideMark/>
          </w:tcPr>
          <w:p w14:paraId="497ED374" w14:textId="77777777" w:rsidR="00014E99" w:rsidRPr="003B3BC3" w:rsidRDefault="00014E99">
            <w:pPr>
              <w:rPr>
                <w:rFonts w:ascii="Arial" w:hAnsi="Arial" w:cs="Arial"/>
              </w:rPr>
            </w:pPr>
            <w:r w:rsidRPr="003B3BC3">
              <w:rPr>
                <w:rFonts w:ascii="Arial" w:hAnsi="Arial" w:cs="Arial"/>
              </w:rPr>
              <w:t>256GB</w:t>
            </w:r>
          </w:p>
        </w:tc>
        <w:tc>
          <w:tcPr>
            <w:tcW w:w="0" w:type="auto"/>
            <w:vAlign w:val="center"/>
            <w:hideMark/>
          </w:tcPr>
          <w:p w14:paraId="2182F0C5" w14:textId="77777777" w:rsidR="00014E99" w:rsidRPr="003B3BC3" w:rsidRDefault="00014E99">
            <w:pPr>
              <w:rPr>
                <w:rFonts w:ascii="Arial" w:hAnsi="Arial" w:cs="Arial"/>
              </w:rPr>
            </w:pPr>
            <w:r w:rsidRPr="003B3BC3">
              <w:rPr>
                <w:rFonts w:ascii="Arial" w:hAnsi="Arial" w:cs="Arial"/>
              </w:rPr>
              <w:t>200GB SSD</w:t>
            </w:r>
          </w:p>
        </w:tc>
        <w:tc>
          <w:tcPr>
            <w:tcW w:w="0" w:type="auto"/>
            <w:vAlign w:val="center"/>
            <w:hideMark/>
          </w:tcPr>
          <w:p w14:paraId="375B710F" w14:textId="77777777" w:rsidR="00014E99" w:rsidRPr="003B3BC3" w:rsidRDefault="00014E99">
            <w:pPr>
              <w:rPr>
                <w:rFonts w:ascii="Arial" w:hAnsi="Arial" w:cs="Arial"/>
              </w:rPr>
            </w:pPr>
            <w:r w:rsidRPr="003B3BC3">
              <w:rPr>
                <w:rFonts w:ascii="Arial" w:hAnsi="Arial" w:cs="Arial"/>
              </w:rPr>
              <w:t>Single Port EDR InfiniBand</w:t>
            </w:r>
          </w:p>
        </w:tc>
        <w:tc>
          <w:tcPr>
            <w:tcW w:w="0" w:type="auto"/>
            <w:vAlign w:val="center"/>
            <w:hideMark/>
          </w:tcPr>
          <w:p w14:paraId="4A0D2ED4" w14:textId="77777777" w:rsidR="00014E99" w:rsidRPr="003B3BC3" w:rsidRDefault="00014E99">
            <w:pPr>
              <w:rPr>
                <w:rFonts w:ascii="Arial" w:hAnsi="Arial" w:cs="Arial"/>
              </w:rPr>
            </w:pPr>
            <w:r w:rsidRPr="003B3BC3">
              <w:rPr>
                <w:rFonts w:ascii="Arial" w:hAnsi="Arial" w:cs="Arial"/>
              </w:rPr>
              <w:t>Dual NVIDIA Tesla K80</w:t>
            </w:r>
          </w:p>
        </w:tc>
      </w:tr>
      <w:tr w:rsidR="00014E99" w:rsidRPr="003B3BC3" w14:paraId="6EE9C54F" w14:textId="77777777" w:rsidTr="00014E99">
        <w:trPr>
          <w:tblCellSpacing w:w="15" w:type="dxa"/>
        </w:trPr>
        <w:tc>
          <w:tcPr>
            <w:tcW w:w="0" w:type="auto"/>
            <w:vAlign w:val="center"/>
            <w:hideMark/>
          </w:tcPr>
          <w:p w14:paraId="4DFD6683" w14:textId="77777777" w:rsidR="00014E99" w:rsidRPr="003B3BC3" w:rsidRDefault="00014E99">
            <w:pPr>
              <w:rPr>
                <w:rFonts w:ascii="Arial" w:hAnsi="Arial" w:cs="Arial"/>
              </w:rPr>
            </w:pPr>
            <w:r w:rsidRPr="003B3BC3">
              <w:rPr>
                <w:rFonts w:ascii="Arial" w:hAnsi="Arial" w:cs="Arial"/>
              </w:rPr>
              <w:t>8</w:t>
            </w:r>
          </w:p>
        </w:tc>
        <w:tc>
          <w:tcPr>
            <w:tcW w:w="0" w:type="auto"/>
            <w:vAlign w:val="center"/>
            <w:hideMark/>
          </w:tcPr>
          <w:p w14:paraId="0D52823D" w14:textId="77777777" w:rsidR="00014E99" w:rsidRPr="003B3BC3" w:rsidRDefault="00014E99">
            <w:pPr>
              <w:rPr>
                <w:rFonts w:ascii="Arial" w:hAnsi="Arial" w:cs="Arial"/>
              </w:rPr>
            </w:pPr>
            <w:r w:rsidRPr="003B3BC3">
              <w:rPr>
                <w:rFonts w:ascii="Arial" w:hAnsi="Arial" w:cs="Arial"/>
              </w:rPr>
              <w:t>Large Memory Nodes</w:t>
            </w:r>
          </w:p>
        </w:tc>
        <w:tc>
          <w:tcPr>
            <w:tcW w:w="0" w:type="auto"/>
            <w:vAlign w:val="center"/>
            <w:hideMark/>
          </w:tcPr>
          <w:p w14:paraId="315B1F0D" w14:textId="77777777" w:rsidR="00014E99" w:rsidRPr="003B3BC3" w:rsidRDefault="00014E99">
            <w:pPr>
              <w:rPr>
                <w:rFonts w:ascii="Arial" w:hAnsi="Arial" w:cs="Arial"/>
              </w:rPr>
            </w:pPr>
            <w:r w:rsidRPr="003B3BC3">
              <w:rPr>
                <w:rFonts w:ascii="Arial" w:hAnsi="Arial" w:cs="Arial"/>
              </w:rPr>
              <w:t>quad E7-4830v4 (56 cores)</w:t>
            </w:r>
          </w:p>
        </w:tc>
        <w:tc>
          <w:tcPr>
            <w:tcW w:w="0" w:type="auto"/>
            <w:vAlign w:val="center"/>
            <w:hideMark/>
          </w:tcPr>
          <w:p w14:paraId="0FC2F4BE" w14:textId="77777777" w:rsidR="00014E99" w:rsidRPr="003B3BC3" w:rsidRDefault="00014E99">
            <w:pPr>
              <w:rPr>
                <w:rFonts w:ascii="Arial" w:hAnsi="Arial" w:cs="Arial"/>
              </w:rPr>
            </w:pPr>
            <w:r w:rsidRPr="003B3BC3">
              <w:rPr>
                <w:rFonts w:ascii="Arial" w:hAnsi="Arial" w:cs="Arial"/>
              </w:rPr>
              <w:t>1TB, 2TB, or 4TB</w:t>
            </w:r>
          </w:p>
        </w:tc>
        <w:tc>
          <w:tcPr>
            <w:tcW w:w="0" w:type="auto"/>
            <w:vAlign w:val="center"/>
            <w:hideMark/>
          </w:tcPr>
          <w:p w14:paraId="4533C748" w14:textId="77777777" w:rsidR="00014E99" w:rsidRPr="003B3BC3" w:rsidRDefault="00014E99">
            <w:pPr>
              <w:rPr>
                <w:rFonts w:ascii="Arial" w:hAnsi="Arial" w:cs="Arial"/>
              </w:rPr>
            </w:pPr>
            <w:r w:rsidRPr="003B3BC3">
              <w:rPr>
                <w:rFonts w:ascii="Arial" w:hAnsi="Arial" w:cs="Arial"/>
              </w:rPr>
              <w:t>dual 480GB SSD</w:t>
            </w:r>
          </w:p>
        </w:tc>
        <w:tc>
          <w:tcPr>
            <w:tcW w:w="0" w:type="auto"/>
            <w:vAlign w:val="center"/>
            <w:hideMark/>
          </w:tcPr>
          <w:p w14:paraId="6E710014" w14:textId="77777777" w:rsidR="00014E99" w:rsidRPr="003B3BC3" w:rsidRDefault="00014E99">
            <w:pPr>
              <w:rPr>
                <w:rFonts w:ascii="Arial" w:hAnsi="Arial" w:cs="Arial"/>
              </w:rPr>
            </w:pPr>
            <w:r w:rsidRPr="003B3BC3">
              <w:rPr>
                <w:rFonts w:ascii="Arial" w:hAnsi="Arial" w:cs="Arial"/>
              </w:rPr>
              <w:t>Single Port EDR InfiniBand</w:t>
            </w:r>
          </w:p>
        </w:tc>
        <w:tc>
          <w:tcPr>
            <w:tcW w:w="0" w:type="auto"/>
            <w:vAlign w:val="center"/>
            <w:hideMark/>
          </w:tcPr>
          <w:p w14:paraId="001CE0D4" w14:textId="77777777" w:rsidR="00014E99" w:rsidRPr="003B3BC3" w:rsidRDefault="00014E99">
            <w:pPr>
              <w:rPr>
                <w:rFonts w:ascii="Arial" w:hAnsi="Arial" w:cs="Arial"/>
              </w:rPr>
            </w:pPr>
            <w:r w:rsidRPr="003B3BC3">
              <w:rPr>
                <w:rFonts w:ascii="Arial" w:hAnsi="Arial" w:cs="Arial"/>
              </w:rPr>
              <w:t>N/A</w:t>
            </w:r>
          </w:p>
        </w:tc>
      </w:tr>
    </w:tbl>
    <w:p w14:paraId="363438DA" w14:textId="77777777" w:rsidR="00014E99" w:rsidRPr="003B3BC3" w:rsidRDefault="00014E99" w:rsidP="00014E99">
      <w:pPr>
        <w:rPr>
          <w:rFonts w:ascii="Arial" w:hAnsi="Arial" w:cs="Arial"/>
        </w:rPr>
      </w:pPr>
    </w:p>
    <w:p w14:paraId="45DCB82E" w14:textId="77777777" w:rsidR="00014E99" w:rsidRPr="003B3BC3" w:rsidRDefault="00014E99" w:rsidP="00014E99">
      <w:pPr>
        <w:rPr>
          <w:rFonts w:ascii="Arial" w:hAnsi="Arial" w:cs="Arial"/>
        </w:rPr>
      </w:pPr>
    </w:p>
    <w:p w14:paraId="503DA828" w14:textId="77777777" w:rsidR="00014E99" w:rsidRPr="003B3BC3" w:rsidRDefault="00014E99" w:rsidP="00014E99">
      <w:pPr>
        <w:rPr>
          <w:rFonts w:ascii="Arial" w:hAnsi="Arial" w:cs="Arial"/>
        </w:rPr>
      </w:pPr>
      <w:r w:rsidRPr="003B3BC3">
        <w:rPr>
          <w:rFonts w:ascii="Arial" w:hAnsi="Arial" w:cs="Arial"/>
        </w:rPr>
        <w:t xml:space="preserve">Storage Hardware: All compute resources are connected to our DDN </w:t>
      </w:r>
      <w:proofErr w:type="spellStart"/>
      <w:r w:rsidRPr="003B3BC3">
        <w:rPr>
          <w:rFonts w:ascii="Arial" w:hAnsi="Arial" w:cs="Arial"/>
        </w:rPr>
        <w:t>GRIDScaler</w:t>
      </w:r>
      <w:proofErr w:type="spellEnd"/>
      <w:r w:rsidRPr="003B3BC3">
        <w:rPr>
          <w:rFonts w:ascii="Arial" w:hAnsi="Arial" w:cs="Arial"/>
        </w:rPr>
        <w:t xml:space="preserve"> 14k storage appliance via the EDR InfiniBand interconnect. The DDN appliance runs GPFS and provides over 1.5 PB of usable storage.</w:t>
      </w:r>
    </w:p>
    <w:p w14:paraId="7610CC1B" w14:textId="6868EADC" w:rsidR="00014E99" w:rsidRPr="003B3BC3" w:rsidRDefault="00014E99" w:rsidP="00014E99">
      <w:pPr>
        <w:rPr>
          <w:rFonts w:ascii="Arial" w:hAnsi="Arial" w:cs="Arial"/>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31"/>
        <w:gridCol w:w="2246"/>
        <w:gridCol w:w="3178"/>
        <w:gridCol w:w="1331"/>
        <w:gridCol w:w="1264"/>
      </w:tblGrid>
      <w:tr w:rsidR="00014E99" w:rsidRPr="003B3BC3" w14:paraId="1B2EB963" w14:textId="77777777" w:rsidTr="00014E99">
        <w:trPr>
          <w:tblHeader/>
          <w:tblCellSpacing w:w="15" w:type="dxa"/>
        </w:trPr>
        <w:tc>
          <w:tcPr>
            <w:tcW w:w="0" w:type="auto"/>
            <w:hideMark/>
          </w:tcPr>
          <w:p w14:paraId="1DB796C0" w14:textId="77777777" w:rsidR="00014E99" w:rsidRPr="003B3BC3" w:rsidRDefault="00014E99">
            <w:pPr>
              <w:rPr>
                <w:rFonts w:ascii="Arial" w:hAnsi="Arial" w:cs="Arial"/>
                <w:b/>
                <w:bCs/>
              </w:rPr>
            </w:pPr>
            <w:r w:rsidRPr="003B3BC3">
              <w:rPr>
                <w:rFonts w:ascii="Arial" w:hAnsi="Arial" w:cs="Arial"/>
                <w:b/>
                <w:bCs/>
              </w:rPr>
              <w:t>Appliance</w:t>
            </w:r>
          </w:p>
        </w:tc>
        <w:tc>
          <w:tcPr>
            <w:tcW w:w="0" w:type="auto"/>
            <w:hideMark/>
          </w:tcPr>
          <w:p w14:paraId="271F0A69" w14:textId="77777777" w:rsidR="00014E99" w:rsidRPr="003B3BC3" w:rsidRDefault="00014E99">
            <w:pPr>
              <w:rPr>
                <w:rFonts w:ascii="Arial" w:hAnsi="Arial" w:cs="Arial"/>
                <w:b/>
                <w:bCs/>
              </w:rPr>
            </w:pPr>
            <w:r w:rsidRPr="003B3BC3">
              <w:rPr>
                <w:rFonts w:ascii="Arial" w:hAnsi="Arial" w:cs="Arial"/>
                <w:b/>
                <w:bCs/>
              </w:rPr>
              <w:t>Enclosures</w:t>
            </w:r>
          </w:p>
        </w:tc>
        <w:tc>
          <w:tcPr>
            <w:tcW w:w="0" w:type="auto"/>
            <w:hideMark/>
          </w:tcPr>
          <w:p w14:paraId="6CDF1CA2" w14:textId="77777777" w:rsidR="00014E99" w:rsidRPr="003B3BC3" w:rsidRDefault="00014E99">
            <w:pPr>
              <w:rPr>
                <w:rFonts w:ascii="Arial" w:hAnsi="Arial" w:cs="Arial"/>
                <w:b/>
                <w:bCs/>
              </w:rPr>
            </w:pPr>
            <w:r w:rsidRPr="003B3BC3">
              <w:rPr>
                <w:rFonts w:ascii="Arial" w:hAnsi="Arial" w:cs="Arial"/>
                <w:b/>
                <w:bCs/>
              </w:rPr>
              <w:t>Drives</w:t>
            </w:r>
          </w:p>
        </w:tc>
        <w:tc>
          <w:tcPr>
            <w:tcW w:w="0" w:type="auto"/>
            <w:hideMark/>
          </w:tcPr>
          <w:p w14:paraId="465A5F6C" w14:textId="77777777" w:rsidR="00014E99" w:rsidRPr="003B3BC3" w:rsidRDefault="00014E99">
            <w:pPr>
              <w:rPr>
                <w:rFonts w:ascii="Arial" w:hAnsi="Arial" w:cs="Arial"/>
                <w:b/>
                <w:bCs/>
              </w:rPr>
            </w:pPr>
            <w:r w:rsidRPr="003B3BC3">
              <w:rPr>
                <w:rFonts w:ascii="Arial" w:hAnsi="Arial" w:cs="Arial"/>
                <w:b/>
                <w:bCs/>
              </w:rPr>
              <w:t>Filesystem</w:t>
            </w:r>
          </w:p>
        </w:tc>
        <w:tc>
          <w:tcPr>
            <w:tcW w:w="0" w:type="auto"/>
            <w:hideMark/>
          </w:tcPr>
          <w:p w14:paraId="140B93B8" w14:textId="77777777" w:rsidR="00014E99" w:rsidRPr="003B3BC3" w:rsidRDefault="00014E99">
            <w:pPr>
              <w:rPr>
                <w:rFonts w:ascii="Arial" w:hAnsi="Arial" w:cs="Arial"/>
                <w:b/>
                <w:bCs/>
              </w:rPr>
            </w:pPr>
            <w:r w:rsidRPr="003B3BC3">
              <w:rPr>
                <w:rFonts w:ascii="Arial" w:hAnsi="Arial" w:cs="Arial"/>
                <w:b/>
                <w:bCs/>
              </w:rPr>
              <w:t>Usable Space</w:t>
            </w:r>
          </w:p>
        </w:tc>
      </w:tr>
      <w:tr w:rsidR="00014E99" w:rsidRPr="003B3BC3" w14:paraId="0BDB6E20" w14:textId="77777777" w:rsidTr="00014E99">
        <w:trPr>
          <w:tblCellSpacing w:w="15" w:type="dxa"/>
        </w:trPr>
        <w:tc>
          <w:tcPr>
            <w:tcW w:w="0" w:type="auto"/>
            <w:hideMark/>
          </w:tcPr>
          <w:p w14:paraId="6A8ABFA3" w14:textId="77777777" w:rsidR="00014E99" w:rsidRPr="003B3BC3" w:rsidRDefault="00014E99">
            <w:pPr>
              <w:rPr>
                <w:rFonts w:ascii="Arial" w:hAnsi="Arial" w:cs="Arial"/>
              </w:rPr>
            </w:pPr>
            <w:r w:rsidRPr="003B3BC3">
              <w:rPr>
                <w:rFonts w:ascii="Arial" w:hAnsi="Arial" w:cs="Arial"/>
              </w:rPr>
              <w:t>DDN GS14k</w:t>
            </w:r>
          </w:p>
        </w:tc>
        <w:tc>
          <w:tcPr>
            <w:tcW w:w="0" w:type="auto"/>
            <w:hideMark/>
          </w:tcPr>
          <w:p w14:paraId="67E6C4A7" w14:textId="77777777" w:rsidR="00014E99" w:rsidRPr="003B3BC3" w:rsidRDefault="00014E99">
            <w:pPr>
              <w:rPr>
                <w:rFonts w:ascii="Arial" w:hAnsi="Arial" w:cs="Arial"/>
              </w:rPr>
            </w:pPr>
            <w:r w:rsidRPr="003B3BC3">
              <w:rPr>
                <w:rFonts w:ascii="Arial" w:hAnsi="Arial" w:cs="Arial"/>
              </w:rPr>
              <w:t>5 SS8462 84-slot enclosures</w:t>
            </w:r>
          </w:p>
        </w:tc>
        <w:tc>
          <w:tcPr>
            <w:tcW w:w="0" w:type="auto"/>
            <w:vAlign w:val="center"/>
            <w:hideMark/>
          </w:tcPr>
          <w:p w14:paraId="1B131EDA" w14:textId="77777777" w:rsidR="00014E99" w:rsidRPr="003B3BC3" w:rsidRDefault="00014E99">
            <w:pPr>
              <w:rPr>
                <w:rFonts w:ascii="Arial" w:hAnsi="Arial" w:cs="Arial"/>
              </w:rPr>
            </w:pPr>
            <w:r w:rsidRPr="003B3BC3">
              <w:rPr>
                <w:rFonts w:ascii="Arial" w:hAnsi="Arial" w:cs="Arial"/>
              </w:rPr>
              <w:t>10 800GB Mixed Use SSD Drives (metadata)</w:t>
            </w:r>
          </w:p>
        </w:tc>
        <w:tc>
          <w:tcPr>
            <w:tcW w:w="0" w:type="auto"/>
            <w:vAlign w:val="center"/>
            <w:hideMark/>
          </w:tcPr>
          <w:p w14:paraId="47933F0D" w14:textId="77777777" w:rsidR="00014E99" w:rsidRPr="003B3BC3" w:rsidRDefault="00014E99">
            <w:pPr>
              <w:rPr>
                <w:rFonts w:ascii="Arial" w:hAnsi="Arial" w:cs="Arial"/>
              </w:rPr>
            </w:pPr>
            <w:r w:rsidRPr="003B3BC3">
              <w:rPr>
                <w:rFonts w:ascii="Arial" w:hAnsi="Arial" w:cs="Arial"/>
              </w:rPr>
              <w:t>GPFS</w:t>
            </w:r>
          </w:p>
        </w:tc>
        <w:tc>
          <w:tcPr>
            <w:tcW w:w="0" w:type="auto"/>
            <w:vAlign w:val="center"/>
            <w:hideMark/>
          </w:tcPr>
          <w:p w14:paraId="76E6B5DA" w14:textId="77777777" w:rsidR="00014E99" w:rsidRPr="003B3BC3" w:rsidRDefault="00014E99">
            <w:pPr>
              <w:rPr>
                <w:rFonts w:ascii="Arial" w:hAnsi="Arial" w:cs="Arial"/>
              </w:rPr>
            </w:pPr>
            <w:r w:rsidRPr="003B3BC3">
              <w:rPr>
                <w:rFonts w:ascii="Arial" w:hAnsi="Arial" w:cs="Arial"/>
              </w:rPr>
              <w:t xml:space="preserve">1,579 </w:t>
            </w:r>
            <w:proofErr w:type="spellStart"/>
            <w:r w:rsidRPr="003B3BC3">
              <w:rPr>
                <w:rFonts w:ascii="Arial" w:hAnsi="Arial" w:cs="Arial"/>
              </w:rPr>
              <w:t>TiB</w:t>
            </w:r>
            <w:proofErr w:type="spellEnd"/>
          </w:p>
        </w:tc>
      </w:tr>
      <w:tr w:rsidR="00014E99" w:rsidRPr="003B3BC3" w14:paraId="5B93E7FA" w14:textId="77777777" w:rsidTr="00014E99">
        <w:trPr>
          <w:tblCellSpacing w:w="15" w:type="dxa"/>
        </w:trPr>
        <w:tc>
          <w:tcPr>
            <w:tcW w:w="0" w:type="auto"/>
            <w:vAlign w:val="center"/>
            <w:hideMark/>
          </w:tcPr>
          <w:p w14:paraId="7C1C73E6" w14:textId="77777777" w:rsidR="00014E99" w:rsidRPr="003B3BC3" w:rsidRDefault="00014E99">
            <w:pPr>
              <w:rPr>
                <w:rFonts w:ascii="Arial" w:hAnsi="Arial" w:cs="Arial"/>
              </w:rPr>
            </w:pPr>
            <w:r w:rsidRPr="003B3BC3">
              <w:rPr>
                <w:rFonts w:ascii="Arial" w:hAnsi="Arial" w:cs="Arial"/>
              </w:rPr>
              <w:t> </w:t>
            </w:r>
          </w:p>
        </w:tc>
        <w:tc>
          <w:tcPr>
            <w:tcW w:w="0" w:type="auto"/>
            <w:vAlign w:val="center"/>
            <w:hideMark/>
          </w:tcPr>
          <w:p w14:paraId="6A973A2F" w14:textId="77777777" w:rsidR="00014E99" w:rsidRPr="003B3BC3" w:rsidRDefault="00014E99">
            <w:pPr>
              <w:rPr>
                <w:rFonts w:ascii="Arial" w:hAnsi="Arial" w:cs="Arial"/>
              </w:rPr>
            </w:pPr>
            <w:r w:rsidRPr="003B3BC3">
              <w:rPr>
                <w:rFonts w:ascii="Arial" w:hAnsi="Arial" w:cs="Arial"/>
              </w:rPr>
              <w:t> </w:t>
            </w:r>
          </w:p>
        </w:tc>
        <w:tc>
          <w:tcPr>
            <w:tcW w:w="0" w:type="auto"/>
            <w:vAlign w:val="center"/>
            <w:hideMark/>
          </w:tcPr>
          <w:p w14:paraId="46A01230" w14:textId="77777777" w:rsidR="00014E99" w:rsidRPr="003B3BC3" w:rsidRDefault="00014E99">
            <w:pPr>
              <w:rPr>
                <w:rFonts w:ascii="Arial" w:hAnsi="Arial" w:cs="Arial"/>
              </w:rPr>
            </w:pPr>
            <w:r w:rsidRPr="003B3BC3">
              <w:rPr>
                <w:rFonts w:ascii="Arial" w:hAnsi="Arial" w:cs="Arial"/>
              </w:rPr>
              <w:t>362 6TB 7200 RMB 12Gb/s SAS 4Kn drives</w:t>
            </w:r>
          </w:p>
        </w:tc>
        <w:tc>
          <w:tcPr>
            <w:tcW w:w="0" w:type="auto"/>
            <w:vAlign w:val="center"/>
            <w:hideMark/>
          </w:tcPr>
          <w:p w14:paraId="05E6919C" w14:textId="77777777" w:rsidR="00014E99" w:rsidRPr="003B3BC3" w:rsidRDefault="00014E99">
            <w:pPr>
              <w:rPr>
                <w:rFonts w:ascii="Arial" w:hAnsi="Arial" w:cs="Arial"/>
              </w:rPr>
            </w:pPr>
            <w:r w:rsidRPr="003B3BC3">
              <w:rPr>
                <w:rFonts w:ascii="Arial" w:hAnsi="Arial" w:cs="Arial"/>
              </w:rPr>
              <w:t> </w:t>
            </w:r>
          </w:p>
        </w:tc>
        <w:tc>
          <w:tcPr>
            <w:tcW w:w="0" w:type="auto"/>
            <w:vAlign w:val="center"/>
            <w:hideMark/>
          </w:tcPr>
          <w:p w14:paraId="796CBCCC" w14:textId="77777777" w:rsidR="00014E99" w:rsidRPr="003B3BC3" w:rsidRDefault="00014E99">
            <w:pPr>
              <w:rPr>
                <w:rFonts w:ascii="Arial" w:hAnsi="Arial" w:cs="Arial"/>
              </w:rPr>
            </w:pPr>
            <w:r w:rsidRPr="003B3BC3">
              <w:rPr>
                <w:rFonts w:ascii="Arial" w:hAnsi="Arial" w:cs="Arial"/>
              </w:rPr>
              <w:t> </w:t>
            </w:r>
          </w:p>
        </w:tc>
      </w:tr>
      <w:tr w:rsidR="00014E99" w:rsidRPr="003B3BC3" w14:paraId="06E991FD" w14:textId="77777777" w:rsidTr="00014E99">
        <w:trPr>
          <w:tblCellSpacing w:w="15" w:type="dxa"/>
        </w:trPr>
        <w:tc>
          <w:tcPr>
            <w:tcW w:w="0" w:type="auto"/>
            <w:vAlign w:val="center"/>
            <w:hideMark/>
          </w:tcPr>
          <w:p w14:paraId="5437440D" w14:textId="77777777" w:rsidR="00014E99" w:rsidRPr="003B3BC3" w:rsidRDefault="00014E99">
            <w:pPr>
              <w:rPr>
                <w:rFonts w:ascii="Arial" w:hAnsi="Arial" w:cs="Arial"/>
              </w:rPr>
            </w:pPr>
            <w:r w:rsidRPr="003B3BC3">
              <w:rPr>
                <w:rFonts w:ascii="Arial" w:hAnsi="Arial" w:cs="Arial"/>
              </w:rPr>
              <w:t> </w:t>
            </w:r>
          </w:p>
        </w:tc>
        <w:tc>
          <w:tcPr>
            <w:tcW w:w="0" w:type="auto"/>
            <w:vAlign w:val="center"/>
            <w:hideMark/>
          </w:tcPr>
          <w:p w14:paraId="673A8594" w14:textId="77777777" w:rsidR="00014E99" w:rsidRPr="003B3BC3" w:rsidRDefault="00014E99">
            <w:pPr>
              <w:rPr>
                <w:rFonts w:ascii="Arial" w:hAnsi="Arial" w:cs="Arial"/>
              </w:rPr>
            </w:pPr>
            <w:r w:rsidRPr="003B3BC3">
              <w:rPr>
                <w:rFonts w:ascii="Arial" w:hAnsi="Arial" w:cs="Arial"/>
              </w:rPr>
              <w:t> </w:t>
            </w:r>
          </w:p>
        </w:tc>
        <w:tc>
          <w:tcPr>
            <w:tcW w:w="0" w:type="auto"/>
            <w:vAlign w:val="center"/>
            <w:hideMark/>
          </w:tcPr>
          <w:p w14:paraId="4B237D52" w14:textId="77777777" w:rsidR="00014E99" w:rsidRPr="003B3BC3" w:rsidRDefault="00014E99">
            <w:pPr>
              <w:rPr>
                <w:rFonts w:ascii="Arial" w:hAnsi="Arial" w:cs="Arial"/>
              </w:rPr>
            </w:pPr>
            <w:r w:rsidRPr="003B3BC3">
              <w:rPr>
                <w:rFonts w:ascii="Arial" w:hAnsi="Arial" w:cs="Arial"/>
              </w:rPr>
              <w:t>21 800GB Mixed Use SSD Drives (fast tier)</w:t>
            </w:r>
          </w:p>
        </w:tc>
        <w:tc>
          <w:tcPr>
            <w:tcW w:w="0" w:type="auto"/>
            <w:vAlign w:val="center"/>
            <w:hideMark/>
          </w:tcPr>
          <w:p w14:paraId="2B8B849D" w14:textId="77777777" w:rsidR="00014E99" w:rsidRPr="003B3BC3" w:rsidRDefault="00014E99">
            <w:pPr>
              <w:rPr>
                <w:rFonts w:ascii="Arial" w:hAnsi="Arial" w:cs="Arial"/>
              </w:rPr>
            </w:pPr>
            <w:r w:rsidRPr="003B3BC3">
              <w:rPr>
                <w:rFonts w:ascii="Arial" w:hAnsi="Arial" w:cs="Arial"/>
              </w:rPr>
              <w:t> </w:t>
            </w:r>
          </w:p>
        </w:tc>
        <w:tc>
          <w:tcPr>
            <w:tcW w:w="0" w:type="auto"/>
            <w:vAlign w:val="center"/>
            <w:hideMark/>
          </w:tcPr>
          <w:p w14:paraId="226B3C00" w14:textId="77777777" w:rsidR="00014E99" w:rsidRPr="003B3BC3" w:rsidRDefault="00014E99">
            <w:pPr>
              <w:rPr>
                <w:rFonts w:ascii="Arial" w:hAnsi="Arial" w:cs="Arial"/>
              </w:rPr>
            </w:pPr>
            <w:r w:rsidRPr="003B3BC3">
              <w:rPr>
                <w:rFonts w:ascii="Arial" w:hAnsi="Arial" w:cs="Arial"/>
              </w:rPr>
              <w:t> </w:t>
            </w:r>
          </w:p>
        </w:tc>
      </w:tr>
    </w:tbl>
    <w:p w14:paraId="1C06DC15" w14:textId="77777777" w:rsidR="00014E99" w:rsidRPr="003B3BC3" w:rsidRDefault="00014E99" w:rsidP="00014E99">
      <w:pPr>
        <w:rPr>
          <w:rFonts w:ascii="Arial" w:hAnsi="Arial" w:cs="Arial"/>
        </w:rPr>
      </w:pPr>
    </w:p>
    <w:p w14:paraId="45E6EC02" w14:textId="77777777" w:rsidR="00014E99" w:rsidRPr="003B3BC3" w:rsidRDefault="00014E99" w:rsidP="00014E99">
      <w:pPr>
        <w:rPr>
          <w:rFonts w:ascii="Arial" w:hAnsi="Arial" w:cs="Arial"/>
        </w:rPr>
      </w:pPr>
    </w:p>
    <w:p w14:paraId="31E3C07A" w14:textId="7D732888" w:rsidR="00014E99" w:rsidRPr="003B3BC3" w:rsidRDefault="00014E99" w:rsidP="00014E99">
      <w:pPr>
        <w:rPr>
          <w:rFonts w:ascii="Arial" w:hAnsi="Arial" w:cs="Arial"/>
        </w:rPr>
      </w:pPr>
      <w:r w:rsidRPr="003B3BC3">
        <w:rPr>
          <w:rFonts w:ascii="Arial" w:hAnsi="Arial" w:cs="Arial"/>
        </w:rPr>
        <w:t xml:space="preserve">All compute nodes and the DDN storage controllers are connected via a high speed EDR InfiniBand network providing 100Gbit/s throughput. The network is arranged in a </w:t>
      </w:r>
      <w:r w:rsidRPr="003B3BC3">
        <w:rPr>
          <w:rFonts w:ascii="Arial" w:hAnsi="Arial" w:cs="Arial"/>
        </w:rPr>
        <w:lastRenderedPageBreak/>
        <w:t>"fat-tree" topology with compute nodes connected to leaf switches and all leaf switches connected to core switches. Currently, the network is configured with a 2:1 overall blocking ratio, i.e. there are twice the number of connections up from the nodes to the leaf switches as there are from the leaf switches to the core switches. This allows us to scale economically while providing unblocked communication between the 24 compute nodes that share a common leaf switch. The two DDN storage controllers each have dual connections to the InfiniBand core switches.</w:t>
      </w:r>
    </w:p>
    <w:p w14:paraId="7890042B" w14:textId="3E4DB857" w:rsidR="00014E99" w:rsidRPr="003B3BC3" w:rsidRDefault="00014E99" w:rsidP="00014E99">
      <w:pPr>
        <w:pStyle w:val="NormalWeb"/>
        <w:rPr>
          <w:rFonts w:ascii="Arial" w:hAnsi="Arial" w:cs="Arial"/>
        </w:rPr>
      </w:pPr>
      <w:r w:rsidRPr="003B3BC3">
        <w:rPr>
          <w:rFonts w:ascii="Arial" w:hAnsi="Arial" w:cs="Arial"/>
        </w:rPr>
        <w:t xml:space="preserve">The acquisition and deployment of </w:t>
      </w:r>
      <w:proofErr w:type="spellStart"/>
      <w:r w:rsidRPr="003B3BC3">
        <w:rPr>
          <w:rFonts w:ascii="Arial" w:hAnsi="Arial" w:cs="Arial"/>
        </w:rPr>
        <w:t>Talapas</w:t>
      </w:r>
      <w:proofErr w:type="spellEnd"/>
      <w:r w:rsidRPr="003B3BC3">
        <w:rPr>
          <w:rFonts w:ascii="Arial" w:hAnsi="Arial" w:cs="Arial"/>
        </w:rPr>
        <w:t xml:space="preserve"> marks a new era for research computing at the University of Oregon. A true research cluster, </w:t>
      </w:r>
      <w:proofErr w:type="spellStart"/>
      <w:r w:rsidRPr="003B3BC3">
        <w:rPr>
          <w:rFonts w:ascii="Arial" w:hAnsi="Arial" w:cs="Arial"/>
        </w:rPr>
        <w:t>Talapas</w:t>
      </w:r>
      <w:proofErr w:type="spellEnd"/>
      <w:r w:rsidRPr="003B3BC3">
        <w:rPr>
          <w:rFonts w:ascii="Arial" w:hAnsi="Arial" w:cs="Arial"/>
        </w:rPr>
        <w:t xml:space="preserve"> is designed to accommodate a wide variety of workflows, from classical MPI based distributed computing to GPU accelerated simulations to large memory applications. This heterogeneous design delivers a single cluster that can effectively serve the unique needs of the diverse computational research community at the University of Oregon. Located in the state</w:t>
      </w:r>
      <w:r w:rsidR="003B3BC3">
        <w:rPr>
          <w:rFonts w:ascii="Arial" w:hAnsi="Arial" w:cs="Arial"/>
        </w:rPr>
        <w:t>-</w:t>
      </w:r>
      <w:r w:rsidRPr="003B3BC3">
        <w:rPr>
          <w:rFonts w:ascii="Arial" w:hAnsi="Arial" w:cs="Arial"/>
        </w:rPr>
        <w:t>of</w:t>
      </w:r>
      <w:r w:rsidR="003B3BC3">
        <w:rPr>
          <w:rFonts w:ascii="Arial" w:hAnsi="Arial" w:cs="Arial"/>
        </w:rPr>
        <w:t>-</w:t>
      </w:r>
      <w:r w:rsidRPr="003B3BC3">
        <w:rPr>
          <w:rFonts w:ascii="Arial" w:hAnsi="Arial" w:cs="Arial"/>
        </w:rPr>
        <w:t>the</w:t>
      </w:r>
      <w:r w:rsidR="003B3BC3">
        <w:rPr>
          <w:rFonts w:ascii="Arial" w:hAnsi="Arial" w:cs="Arial"/>
        </w:rPr>
        <w:t>-</w:t>
      </w:r>
      <w:r w:rsidRPr="003B3BC3">
        <w:rPr>
          <w:rFonts w:ascii="Arial" w:hAnsi="Arial" w:cs="Arial"/>
        </w:rPr>
        <w:t>art Allen Hall Data Center</w:t>
      </w:r>
      <w:r w:rsidR="003B3BC3">
        <w:rPr>
          <w:rFonts w:ascii="Arial" w:hAnsi="Arial" w:cs="Arial"/>
        </w:rPr>
        <w:t>,</w:t>
      </w:r>
      <w:r w:rsidRPr="003B3BC3">
        <w:rPr>
          <w:rFonts w:ascii="Arial" w:hAnsi="Arial" w:cs="Arial"/>
        </w:rPr>
        <w:t xml:space="preserve"> </w:t>
      </w:r>
      <w:proofErr w:type="spellStart"/>
      <w:r w:rsidRPr="003B3BC3">
        <w:rPr>
          <w:rFonts w:ascii="Arial" w:hAnsi="Arial" w:cs="Arial"/>
        </w:rPr>
        <w:t>Talapas</w:t>
      </w:r>
      <w:proofErr w:type="spellEnd"/>
      <w:r w:rsidRPr="003B3BC3">
        <w:rPr>
          <w:rFonts w:ascii="Arial" w:hAnsi="Arial" w:cs="Arial"/>
        </w:rPr>
        <w:t xml:space="preserve"> is currently in late stage open beta testing and is available for use by all researchers at the University of Oregon. </w:t>
      </w:r>
    </w:p>
    <w:p w14:paraId="0BBDCB3F" w14:textId="77777777" w:rsidR="00C2369E" w:rsidRDefault="001C72B2"/>
    <w:sectPr w:rsidR="00C2369E" w:rsidSect="007A6E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79418" w14:textId="77777777" w:rsidR="001C72B2" w:rsidRDefault="001C72B2" w:rsidP="00014E99">
      <w:r>
        <w:separator/>
      </w:r>
    </w:p>
  </w:endnote>
  <w:endnote w:type="continuationSeparator" w:id="0">
    <w:p w14:paraId="1BE70702" w14:textId="77777777" w:rsidR="001C72B2" w:rsidRDefault="001C72B2" w:rsidP="0001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7BF2E" w14:textId="77777777" w:rsidR="001C72B2" w:rsidRDefault="001C72B2" w:rsidP="00014E99">
      <w:r>
        <w:separator/>
      </w:r>
    </w:p>
  </w:footnote>
  <w:footnote w:type="continuationSeparator" w:id="0">
    <w:p w14:paraId="17C4C157" w14:textId="77777777" w:rsidR="001C72B2" w:rsidRDefault="001C72B2" w:rsidP="0001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8489" w14:textId="096A705E" w:rsidR="00014E99" w:rsidRPr="00014E99" w:rsidRDefault="00014E99">
    <w:pPr>
      <w:pStyle w:val="Header"/>
      <w:rPr>
        <w:sz w:val="21"/>
      </w:rPr>
    </w:pPr>
    <w:r w:rsidRPr="00014E99">
      <w:rPr>
        <w:sz w:val="21"/>
      </w:rPr>
      <w:t>6/</w:t>
    </w:r>
    <w:r w:rsidR="003B3BC3">
      <w:rPr>
        <w:sz w:val="21"/>
      </w:rPr>
      <w:t>22</w:t>
    </w:r>
    <w:r w:rsidRPr="00014E99">
      <w:rPr>
        <w:sz w:val="21"/>
      </w:rPr>
      <w:t>/</w:t>
    </w:r>
    <w:r w:rsidR="003B3BC3">
      <w:rPr>
        <w:sz w:val="21"/>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99"/>
    <w:rsid w:val="00014E99"/>
    <w:rsid w:val="001C72B2"/>
    <w:rsid w:val="003A27B8"/>
    <w:rsid w:val="003B3BC3"/>
    <w:rsid w:val="003D73A1"/>
    <w:rsid w:val="007A6E26"/>
    <w:rsid w:val="008744DF"/>
    <w:rsid w:val="00923B87"/>
    <w:rsid w:val="009350CA"/>
    <w:rsid w:val="009D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8884C"/>
  <w15:chartTrackingRefBased/>
  <w15:docId w15:val="{8DF2CCD0-9BBD-CC4A-AF86-AC58831D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E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E99"/>
    <w:pPr>
      <w:spacing w:before="100" w:beforeAutospacing="1" w:after="100" w:afterAutospacing="1"/>
    </w:pPr>
  </w:style>
  <w:style w:type="paragraph" w:styleId="Header">
    <w:name w:val="header"/>
    <w:basedOn w:val="Normal"/>
    <w:link w:val="HeaderChar"/>
    <w:uiPriority w:val="99"/>
    <w:unhideWhenUsed/>
    <w:rsid w:val="00014E9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4E99"/>
  </w:style>
  <w:style w:type="paragraph" w:styleId="Footer">
    <w:name w:val="footer"/>
    <w:basedOn w:val="Normal"/>
    <w:link w:val="FooterChar"/>
    <w:uiPriority w:val="99"/>
    <w:unhideWhenUsed/>
    <w:rsid w:val="00014E9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4E99"/>
  </w:style>
  <w:style w:type="character" w:styleId="Strong">
    <w:name w:val="Strong"/>
    <w:basedOn w:val="DefaultParagraphFont"/>
    <w:uiPriority w:val="22"/>
    <w:qFormat/>
    <w:rsid w:val="0001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9311">
      <w:bodyDiv w:val="1"/>
      <w:marLeft w:val="0"/>
      <w:marRight w:val="0"/>
      <w:marTop w:val="0"/>
      <w:marBottom w:val="0"/>
      <w:divBdr>
        <w:top w:val="none" w:sz="0" w:space="0" w:color="auto"/>
        <w:left w:val="none" w:sz="0" w:space="0" w:color="auto"/>
        <w:bottom w:val="none" w:sz="0" w:space="0" w:color="auto"/>
        <w:right w:val="none" w:sz="0" w:space="0" w:color="auto"/>
      </w:divBdr>
    </w:div>
    <w:div w:id="1131092189">
      <w:bodyDiv w:val="1"/>
      <w:marLeft w:val="0"/>
      <w:marRight w:val="0"/>
      <w:marTop w:val="0"/>
      <w:marBottom w:val="0"/>
      <w:divBdr>
        <w:top w:val="none" w:sz="0" w:space="0" w:color="auto"/>
        <w:left w:val="none" w:sz="0" w:space="0" w:color="auto"/>
        <w:bottom w:val="none" w:sz="0" w:space="0" w:color="auto"/>
        <w:right w:val="none" w:sz="0" w:space="0" w:color="auto"/>
      </w:divBdr>
    </w:div>
    <w:div w:id="1468668708">
      <w:bodyDiv w:val="1"/>
      <w:marLeft w:val="0"/>
      <w:marRight w:val="0"/>
      <w:marTop w:val="0"/>
      <w:marBottom w:val="0"/>
      <w:divBdr>
        <w:top w:val="none" w:sz="0" w:space="0" w:color="auto"/>
        <w:left w:val="none" w:sz="0" w:space="0" w:color="auto"/>
        <w:bottom w:val="none" w:sz="0" w:space="0" w:color="auto"/>
        <w:right w:val="none" w:sz="0" w:space="0" w:color="auto"/>
      </w:divBdr>
      <w:divsChild>
        <w:div w:id="242955054">
          <w:marLeft w:val="0"/>
          <w:marRight w:val="0"/>
          <w:marTop w:val="0"/>
          <w:marBottom w:val="0"/>
          <w:divBdr>
            <w:top w:val="none" w:sz="0" w:space="0" w:color="auto"/>
            <w:left w:val="none" w:sz="0" w:space="0" w:color="auto"/>
            <w:bottom w:val="none" w:sz="0" w:space="0" w:color="auto"/>
            <w:right w:val="none" w:sz="0" w:space="0" w:color="auto"/>
          </w:divBdr>
        </w:div>
        <w:div w:id="1882208966">
          <w:marLeft w:val="0"/>
          <w:marRight w:val="0"/>
          <w:marTop w:val="0"/>
          <w:marBottom w:val="0"/>
          <w:divBdr>
            <w:top w:val="none" w:sz="0" w:space="0" w:color="auto"/>
            <w:left w:val="none" w:sz="0" w:space="0" w:color="auto"/>
            <w:bottom w:val="none" w:sz="0" w:space="0" w:color="auto"/>
            <w:right w:val="none" w:sz="0" w:space="0" w:color="auto"/>
          </w:divBdr>
        </w:div>
      </w:divsChild>
    </w:div>
    <w:div w:id="1836065718">
      <w:bodyDiv w:val="1"/>
      <w:marLeft w:val="0"/>
      <w:marRight w:val="0"/>
      <w:marTop w:val="0"/>
      <w:marBottom w:val="0"/>
      <w:divBdr>
        <w:top w:val="none" w:sz="0" w:space="0" w:color="auto"/>
        <w:left w:val="none" w:sz="0" w:space="0" w:color="auto"/>
        <w:bottom w:val="none" w:sz="0" w:space="0" w:color="auto"/>
        <w:right w:val="none" w:sz="0" w:space="0" w:color="auto"/>
      </w:divBdr>
    </w:div>
    <w:div w:id="2111781355">
      <w:bodyDiv w:val="1"/>
      <w:marLeft w:val="0"/>
      <w:marRight w:val="0"/>
      <w:marTop w:val="0"/>
      <w:marBottom w:val="0"/>
      <w:divBdr>
        <w:top w:val="none" w:sz="0" w:space="0" w:color="auto"/>
        <w:left w:val="none" w:sz="0" w:space="0" w:color="auto"/>
        <w:bottom w:val="none" w:sz="0" w:space="0" w:color="auto"/>
        <w:right w:val="none" w:sz="0" w:space="0" w:color="auto"/>
      </w:divBdr>
    </w:div>
    <w:div w:id="21237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Catherine Jarmin Miller</cp:lastModifiedBy>
  <cp:revision>2</cp:revision>
  <dcterms:created xsi:type="dcterms:W3CDTF">2020-06-22T22:53:00Z</dcterms:created>
  <dcterms:modified xsi:type="dcterms:W3CDTF">2020-06-22T22:53:00Z</dcterms:modified>
</cp:coreProperties>
</file>