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04FC" w14:textId="2C38876C" w:rsidR="00A3535A" w:rsidRPr="00417955" w:rsidRDefault="002933B6" w:rsidP="00A353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  <w:r w:rsidRPr="00417955">
        <w:rPr>
          <w:rFonts w:ascii="Arial" w:hAnsi="Arial" w:cs="Arial"/>
          <w:color w:val="000000" w:themeColor="text1"/>
          <w:u w:val="single"/>
        </w:rPr>
        <w:t xml:space="preserve">Condensed </w:t>
      </w:r>
      <w:r w:rsidR="00A3535A" w:rsidRPr="00417955">
        <w:rPr>
          <w:rFonts w:ascii="Arial" w:hAnsi="Arial" w:cs="Arial"/>
          <w:color w:val="000000" w:themeColor="text1"/>
          <w:u w:val="single"/>
        </w:rPr>
        <w:t>Paragraph</w:t>
      </w:r>
    </w:p>
    <w:p w14:paraId="0A7DB318" w14:textId="77777777" w:rsidR="00561BA1" w:rsidRPr="00417955" w:rsidRDefault="00A42886" w:rsidP="00561BA1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17955">
        <w:rPr>
          <w:rFonts w:ascii="Arial" w:hAnsi="Arial" w:cs="Arial"/>
          <w:color w:val="000000" w:themeColor="text1"/>
        </w:rPr>
        <w:t xml:space="preserve">The </w:t>
      </w:r>
      <w:r w:rsidRPr="00417955">
        <w:rPr>
          <w:rFonts w:ascii="Arial" w:hAnsi="Arial" w:cs="Arial"/>
          <w:b/>
          <w:bCs/>
          <w:color w:val="000000" w:themeColor="text1"/>
        </w:rPr>
        <w:t>Teaching Engagement Program (TEP)</w:t>
      </w:r>
      <w:r w:rsidRPr="00417955">
        <w:rPr>
          <w:rFonts w:ascii="Arial" w:hAnsi="Arial" w:cs="Arial"/>
          <w:color w:val="000000" w:themeColor="text1"/>
        </w:rPr>
        <w:t xml:space="preserve"> </w:t>
      </w:r>
      <w:r w:rsidR="007877B5" w:rsidRPr="00417955">
        <w:rPr>
          <w:rFonts w:ascii="Arial" w:hAnsi="Arial" w:cs="Arial"/>
          <w:color w:val="000000" w:themeColor="text1"/>
        </w:rPr>
        <w:t xml:space="preserve">at UO </w:t>
      </w:r>
      <w:r w:rsidRPr="00417955">
        <w:rPr>
          <w:rFonts w:ascii="Arial" w:hAnsi="Arial" w:cs="Arial"/>
          <w:color w:val="000000" w:themeColor="text1"/>
        </w:rPr>
        <w:t xml:space="preserve">works to define, develop, evaluate, acknowledge, and leverage teaching excellence. TEP supports teachers across rank and discipline, building an inclusive, engaged, and research-led campus-wide teaching culture. </w:t>
      </w:r>
      <w:r w:rsidR="00805BB8" w:rsidRPr="00417955">
        <w:rPr>
          <w:rFonts w:ascii="Arial" w:hAnsi="Arial" w:cs="Arial"/>
          <w:color w:val="000000" w:themeColor="text1"/>
        </w:rPr>
        <w:t>Our program</w:t>
      </w:r>
      <w:r w:rsidRPr="00417955">
        <w:rPr>
          <w:rFonts w:ascii="Arial" w:hAnsi="Arial" w:cs="Arial"/>
          <w:color w:val="000000" w:themeColor="text1"/>
        </w:rPr>
        <w:t xml:space="preserve"> offers resources and opportunities to develop and improve teaching competencies</w:t>
      </w:r>
      <w:r w:rsidR="00EB633A" w:rsidRPr="00417955">
        <w:rPr>
          <w:rFonts w:ascii="Arial" w:hAnsi="Arial" w:cs="Arial"/>
          <w:color w:val="000000" w:themeColor="text1"/>
        </w:rPr>
        <w:t>, marketed through a weekly e-newsletter</w:t>
      </w:r>
      <w:r w:rsidRPr="00417955">
        <w:rPr>
          <w:rFonts w:ascii="Arial" w:hAnsi="Arial" w:cs="Arial"/>
          <w:color w:val="000000" w:themeColor="text1"/>
        </w:rPr>
        <w:t xml:space="preserve">. Highlights include Faculty Learning Communities focused on accelerating the impact of teaching, a Summer Teaching Research Institute, </w:t>
      </w:r>
      <w:r w:rsidR="007877B5" w:rsidRPr="00417955">
        <w:rPr>
          <w:rFonts w:ascii="Arial" w:hAnsi="Arial" w:cs="Arial"/>
          <w:color w:val="000000" w:themeColor="text1"/>
        </w:rPr>
        <w:t xml:space="preserve">a </w:t>
      </w:r>
      <w:r w:rsidRPr="00417955">
        <w:rPr>
          <w:rFonts w:ascii="Arial" w:hAnsi="Arial" w:cs="Arial"/>
          <w:color w:val="000000" w:themeColor="text1"/>
        </w:rPr>
        <w:t xml:space="preserve">Science Teaching and Journal Club, and core skill development workshops (e.g., </w:t>
      </w:r>
      <w:r w:rsidRPr="00417955">
        <w:rPr>
          <w:rFonts w:ascii="Arial" w:eastAsia="Times New Roman" w:hAnsi="Arial" w:cs="Arial"/>
          <w:color w:val="000000" w:themeColor="text1"/>
        </w:rPr>
        <w:t>Allied Course Design, Teaching Toward Inclusion and Belonging</w:t>
      </w:r>
      <w:r w:rsidRPr="00417955">
        <w:rPr>
          <w:rFonts w:ascii="Arial" w:hAnsi="Arial" w:cs="Arial"/>
          <w:color w:val="000000" w:themeColor="text1"/>
        </w:rPr>
        <w:t>). TEP staff also consult with individuals and departments and support the Graduate Teaching Init</w:t>
      </w:r>
      <w:r w:rsidR="007877B5" w:rsidRPr="00417955">
        <w:rPr>
          <w:rFonts w:ascii="Arial" w:hAnsi="Arial" w:cs="Arial"/>
          <w:color w:val="000000" w:themeColor="text1"/>
        </w:rPr>
        <w:t xml:space="preserve">iative, geared exclusively towards UO graduate students. </w:t>
      </w:r>
      <w:r w:rsidR="007877B5" w:rsidRPr="00417955">
        <w:rPr>
          <w:rFonts w:ascii="Arial" w:eastAsia="Times New Roman" w:hAnsi="Arial" w:cs="Arial"/>
          <w:color w:val="000000" w:themeColor="text1"/>
        </w:rPr>
        <w:t>All new</w:t>
      </w:r>
      <w:r w:rsidR="007877B5" w:rsidRPr="00417955">
        <w:rPr>
          <w:rFonts w:ascii="Arial" w:hAnsi="Arial" w:cs="Arial"/>
          <w:color w:val="000000" w:themeColor="text1"/>
        </w:rPr>
        <w:t xml:space="preserve"> UO</w:t>
      </w:r>
      <w:r w:rsidR="007877B5" w:rsidRPr="00417955">
        <w:rPr>
          <w:rFonts w:ascii="Arial" w:eastAsia="Times New Roman" w:hAnsi="Arial" w:cs="Arial"/>
          <w:color w:val="000000" w:themeColor="text1"/>
        </w:rPr>
        <w:t xml:space="preserve"> faculty receive a TEP-produced packet on the basics of creating UO course syllabi, advice about developing student-focused learning objectives, and a list of teaching development opportunities.</w:t>
      </w:r>
      <w:r w:rsidR="007877B5" w:rsidRPr="00417955">
        <w:rPr>
          <w:rFonts w:ascii="Arial" w:hAnsi="Arial" w:cs="Arial"/>
          <w:color w:val="000000" w:themeColor="text1"/>
        </w:rPr>
        <w:t xml:space="preserve"> </w:t>
      </w:r>
      <w:r w:rsidR="007877B5" w:rsidRPr="00417955">
        <w:rPr>
          <w:rFonts w:ascii="Arial" w:eastAsia="Times New Roman" w:hAnsi="Arial" w:cs="Arial"/>
          <w:color w:val="000000" w:themeColor="text1"/>
        </w:rPr>
        <w:t xml:space="preserve">TEP </w:t>
      </w:r>
      <w:r w:rsidR="007877B5" w:rsidRPr="00417955">
        <w:rPr>
          <w:rFonts w:ascii="Arial" w:hAnsi="Arial" w:cs="Arial"/>
          <w:color w:val="000000" w:themeColor="text1"/>
        </w:rPr>
        <w:t xml:space="preserve">web </w:t>
      </w:r>
      <w:r w:rsidR="007877B5" w:rsidRPr="00417955">
        <w:rPr>
          <w:rFonts w:ascii="Arial" w:eastAsia="Times New Roman" w:hAnsi="Arial" w:cs="Arial"/>
          <w:color w:val="000000" w:themeColor="text1"/>
        </w:rPr>
        <w:t>resources include frameworks for teaching excellence and inclusive teaching</w:t>
      </w:r>
      <w:r w:rsidR="007877B5" w:rsidRPr="00417955">
        <w:rPr>
          <w:rFonts w:ascii="Arial" w:hAnsi="Arial" w:cs="Arial"/>
          <w:color w:val="000000" w:themeColor="text1"/>
        </w:rPr>
        <w:t xml:space="preserve"> and</w:t>
      </w:r>
      <w:r w:rsidR="007877B5" w:rsidRPr="00417955">
        <w:rPr>
          <w:rFonts w:ascii="Arial" w:eastAsia="Times New Roman" w:hAnsi="Arial" w:cs="Arial"/>
          <w:color w:val="000000" w:themeColor="text1"/>
        </w:rPr>
        <w:t xml:space="preserve"> teaching evaluation tools (e.g., peer review, self-reflection, student feedback)</w:t>
      </w:r>
      <w:r w:rsidR="008044B6" w:rsidRPr="00417955">
        <w:rPr>
          <w:rFonts w:ascii="Arial" w:hAnsi="Arial" w:cs="Arial"/>
          <w:color w:val="000000" w:themeColor="text1"/>
        </w:rPr>
        <w:t xml:space="preserve">. </w:t>
      </w:r>
      <w:r w:rsidR="00561BA1" w:rsidRPr="00417955">
        <w:rPr>
          <w:rFonts w:ascii="Arial" w:hAnsi="Arial" w:cs="Arial"/>
          <w:color w:val="000000" w:themeColor="text1"/>
        </w:rPr>
        <w:t>The TEP demonstrates UO’s strong commitment to effective teaching and student learning.</w:t>
      </w:r>
    </w:p>
    <w:p w14:paraId="018CB1E7" w14:textId="77777777" w:rsidR="00A3535A" w:rsidRPr="00417955" w:rsidRDefault="00A3535A" w:rsidP="00A353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</w:p>
    <w:p w14:paraId="1B0FE2F5" w14:textId="2B65F59F" w:rsidR="00A3535A" w:rsidRPr="00417955" w:rsidRDefault="00A3535A" w:rsidP="00A353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  <w:r w:rsidRPr="00417955">
        <w:rPr>
          <w:rFonts w:ascii="Arial" w:hAnsi="Arial" w:cs="Arial"/>
          <w:color w:val="000000" w:themeColor="text1"/>
          <w:u w:val="single"/>
        </w:rPr>
        <w:t>Full Text</w:t>
      </w:r>
    </w:p>
    <w:p w14:paraId="26F253FA" w14:textId="43D527E0" w:rsidR="00674FEC" w:rsidRPr="00417955" w:rsidRDefault="00EE3217" w:rsidP="00417955">
      <w:pPr>
        <w:rPr>
          <w:rFonts w:ascii="Times New Roman" w:eastAsia="Times New Roman" w:hAnsi="Times New Roman" w:cs="Times New Roman"/>
          <w:color w:val="000000" w:themeColor="text1"/>
        </w:rPr>
      </w:pPr>
      <w:r w:rsidRPr="00417955">
        <w:rPr>
          <w:rFonts w:ascii="Arial" w:hAnsi="Arial" w:cs="Arial"/>
          <w:color w:val="000000" w:themeColor="text1"/>
        </w:rPr>
        <w:t>The Teaching Engagement Progra</w:t>
      </w:r>
      <w:r w:rsidR="00674FEC" w:rsidRPr="00417955">
        <w:rPr>
          <w:rFonts w:ascii="Arial" w:hAnsi="Arial" w:cs="Arial"/>
          <w:color w:val="000000" w:themeColor="text1"/>
        </w:rPr>
        <w:t>m (TEP)</w:t>
      </w:r>
      <w:r w:rsidR="00417955" w:rsidRPr="00417955">
        <w:rPr>
          <w:rFonts w:ascii="Arial" w:hAnsi="Arial" w:cs="Arial"/>
          <w:color w:val="000000" w:themeColor="text1"/>
        </w:rPr>
        <w:t xml:space="preserve"> </w:t>
      </w:r>
      <w:r w:rsidR="00417955" w:rsidRPr="00417955">
        <w:rPr>
          <w:rFonts w:ascii="Arial" w:eastAsia="Times New Roman" w:hAnsi="Arial" w:cs="Arial"/>
          <w:color w:val="000000" w:themeColor="text1"/>
          <w:shd w:val="clear" w:color="auto" w:fill="FFFFFF"/>
        </w:rPr>
        <w:t>was founded in 1987 by the Center for Academic Learning Services in response to grassroots efforts by faculty to get more support for their teaching.</w:t>
      </w:r>
      <w:r w:rsidR="00417955" w:rsidRPr="0041795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Now</w:t>
      </w:r>
      <w:r w:rsidR="00674FEC" w:rsidRPr="00417955">
        <w:rPr>
          <w:rFonts w:ascii="Arial" w:hAnsi="Arial" w:cs="Arial"/>
          <w:color w:val="000000" w:themeColor="text1"/>
        </w:rPr>
        <w:t xml:space="preserve"> part of UO’s Office of the Provost,</w:t>
      </w:r>
      <w:r w:rsidR="00417955" w:rsidRPr="00417955">
        <w:rPr>
          <w:rFonts w:ascii="Arial" w:hAnsi="Arial" w:cs="Arial"/>
          <w:color w:val="000000" w:themeColor="text1"/>
        </w:rPr>
        <w:t xml:space="preserve"> it </w:t>
      </w:r>
      <w:r w:rsidRPr="00417955">
        <w:rPr>
          <w:rFonts w:ascii="Arial" w:hAnsi="Arial" w:cs="Arial"/>
          <w:color w:val="000000" w:themeColor="text1"/>
        </w:rPr>
        <w:t xml:space="preserve">works to define, develop, </w:t>
      </w:r>
      <w:r w:rsidR="001716B5" w:rsidRPr="00417955">
        <w:rPr>
          <w:rFonts w:ascii="Arial" w:hAnsi="Arial" w:cs="Arial"/>
          <w:color w:val="000000" w:themeColor="text1"/>
        </w:rPr>
        <w:t xml:space="preserve">holistically </w:t>
      </w:r>
      <w:r w:rsidRPr="00417955">
        <w:rPr>
          <w:rFonts w:ascii="Arial" w:hAnsi="Arial" w:cs="Arial"/>
          <w:color w:val="000000" w:themeColor="text1"/>
        </w:rPr>
        <w:t>evaluate, acknowledge, and leverage teaching excellence to achieve the fullest promise of a UO education</w:t>
      </w:r>
      <w:r w:rsidR="00A3535A" w:rsidRPr="00417955">
        <w:rPr>
          <w:rFonts w:ascii="Arial" w:hAnsi="Arial" w:cs="Arial"/>
          <w:color w:val="000000" w:themeColor="text1"/>
        </w:rPr>
        <w:t xml:space="preserve"> for our students</w:t>
      </w:r>
      <w:r w:rsidRPr="00417955">
        <w:rPr>
          <w:rFonts w:ascii="Arial" w:hAnsi="Arial" w:cs="Arial"/>
          <w:color w:val="000000" w:themeColor="text1"/>
        </w:rPr>
        <w:t>. TEP supports teachers across rank and discipline, building an inclusive, engaged, and research-led campus-wide teaching culture.</w:t>
      </w:r>
      <w:r w:rsidR="00805BB8" w:rsidRPr="00417955">
        <w:rPr>
          <w:rFonts w:ascii="Arial" w:hAnsi="Arial" w:cs="Arial"/>
          <w:color w:val="000000" w:themeColor="text1"/>
        </w:rPr>
        <w:t xml:space="preserve"> Our program’s</w:t>
      </w:r>
      <w:r w:rsidR="00D7284D" w:rsidRPr="00417955">
        <w:rPr>
          <w:rFonts w:ascii="Arial" w:hAnsi="Arial" w:cs="Arial"/>
          <w:color w:val="000000" w:themeColor="text1"/>
        </w:rPr>
        <w:t xml:space="preserve"> </w:t>
      </w:r>
      <w:r w:rsidR="009500F3" w:rsidRPr="00417955">
        <w:rPr>
          <w:rFonts w:ascii="Arial" w:hAnsi="Arial" w:cs="Arial"/>
          <w:color w:val="000000" w:themeColor="text1"/>
        </w:rPr>
        <w:t>activities are guided</w:t>
      </w:r>
      <w:r w:rsidR="00AF5A4A" w:rsidRPr="00417955">
        <w:rPr>
          <w:rFonts w:ascii="Arial" w:hAnsi="Arial" w:cs="Arial"/>
          <w:color w:val="000000" w:themeColor="text1"/>
        </w:rPr>
        <w:t xml:space="preserve"> –</w:t>
      </w:r>
      <w:r w:rsidR="00D7284D" w:rsidRPr="00417955">
        <w:rPr>
          <w:rFonts w:ascii="Arial" w:hAnsi="Arial" w:cs="Arial"/>
          <w:color w:val="000000" w:themeColor="text1"/>
        </w:rPr>
        <w:t xml:space="preserve"> in part</w:t>
      </w:r>
      <w:r w:rsidR="00AF5A4A" w:rsidRPr="00417955">
        <w:rPr>
          <w:rFonts w:ascii="Arial" w:hAnsi="Arial" w:cs="Arial"/>
          <w:color w:val="000000" w:themeColor="text1"/>
        </w:rPr>
        <w:t xml:space="preserve"> –</w:t>
      </w:r>
      <w:r w:rsidR="009500F3" w:rsidRPr="00417955">
        <w:rPr>
          <w:rFonts w:ascii="Arial" w:hAnsi="Arial" w:cs="Arial"/>
          <w:color w:val="000000" w:themeColor="text1"/>
        </w:rPr>
        <w:t xml:space="preserve"> by the Provost’s Teaching Academy, a group of </w:t>
      </w:r>
      <w:r w:rsidR="00C6072B" w:rsidRPr="00417955">
        <w:rPr>
          <w:rFonts w:ascii="Arial" w:hAnsi="Arial" w:cs="Arial"/>
          <w:color w:val="000000" w:themeColor="text1"/>
        </w:rPr>
        <w:t xml:space="preserve">UO faculty </w:t>
      </w:r>
      <w:r w:rsidR="009500F3" w:rsidRPr="00417955">
        <w:rPr>
          <w:rFonts w:ascii="Arial" w:hAnsi="Arial" w:cs="Arial"/>
          <w:color w:val="000000" w:themeColor="text1"/>
        </w:rPr>
        <w:t>who</w:t>
      </w:r>
      <w:r w:rsidR="00C6072B" w:rsidRPr="00417955">
        <w:rPr>
          <w:rFonts w:ascii="Arial" w:hAnsi="Arial" w:cs="Arial"/>
          <w:color w:val="000000" w:themeColor="text1"/>
        </w:rPr>
        <w:t xml:space="preserve"> have distinguished themselves </w:t>
      </w:r>
      <w:r w:rsidR="00805BB8" w:rsidRPr="00417955">
        <w:rPr>
          <w:rFonts w:ascii="Arial" w:hAnsi="Arial" w:cs="Arial"/>
          <w:color w:val="000000" w:themeColor="text1"/>
        </w:rPr>
        <w:t>in teaching</w:t>
      </w:r>
      <w:r w:rsidR="00AF5A4A" w:rsidRPr="00417955">
        <w:rPr>
          <w:rFonts w:ascii="Arial" w:hAnsi="Arial" w:cs="Arial"/>
          <w:color w:val="000000" w:themeColor="text1"/>
        </w:rPr>
        <w:t>.</w:t>
      </w:r>
    </w:p>
    <w:p w14:paraId="53EB972D" w14:textId="77777777" w:rsidR="00A3535A" w:rsidRPr="00417955" w:rsidRDefault="00A3535A" w:rsidP="00A353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B5147CD" w14:textId="30741F8B" w:rsidR="00372905" w:rsidRPr="00417955" w:rsidRDefault="009500F3" w:rsidP="00A3535A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17955">
        <w:rPr>
          <w:rFonts w:ascii="Arial" w:eastAsia="Times New Roman" w:hAnsi="Arial" w:cs="Arial"/>
          <w:color w:val="000000" w:themeColor="text1"/>
        </w:rPr>
        <w:t xml:space="preserve">Programs currently offered by TEP include: (1) </w:t>
      </w:r>
      <w:r w:rsidR="00C6072B" w:rsidRPr="00417955">
        <w:rPr>
          <w:rFonts w:ascii="Arial" w:eastAsia="Times New Roman" w:hAnsi="Arial" w:cs="Arial"/>
          <w:color w:val="000000" w:themeColor="text1"/>
        </w:rPr>
        <w:t>Faculty Learning Communities</w:t>
      </w:r>
      <w:r w:rsidRPr="00417955">
        <w:rPr>
          <w:rFonts w:ascii="Arial" w:eastAsia="Times New Roman" w:hAnsi="Arial" w:cs="Arial"/>
          <w:color w:val="000000" w:themeColor="text1"/>
        </w:rPr>
        <w:t xml:space="preserve">, in which </w:t>
      </w:r>
      <w:r w:rsidR="00A3535A" w:rsidRPr="00417955">
        <w:rPr>
          <w:rFonts w:ascii="Arial" w:eastAsia="Times New Roman" w:hAnsi="Arial" w:cs="Arial"/>
          <w:color w:val="000000" w:themeColor="text1"/>
        </w:rPr>
        <w:t>faculty</w:t>
      </w:r>
      <w:r w:rsidR="00C6072B" w:rsidRPr="00417955">
        <w:rPr>
          <w:rFonts w:ascii="Arial" w:eastAsia="Times New Roman" w:hAnsi="Arial" w:cs="Arial"/>
          <w:color w:val="000000" w:themeColor="text1"/>
        </w:rPr>
        <w:t xml:space="preserve"> Fellows</w:t>
      </w:r>
      <w:r w:rsidR="00A3535A" w:rsidRPr="00417955">
        <w:rPr>
          <w:rFonts w:ascii="Arial" w:eastAsia="Times New Roman" w:hAnsi="Arial" w:cs="Arial"/>
          <w:color w:val="000000" w:themeColor="text1"/>
        </w:rPr>
        <w:t xml:space="preserve"> </w:t>
      </w:r>
      <w:r w:rsidR="00C6072B" w:rsidRPr="00417955">
        <w:rPr>
          <w:rFonts w:ascii="Arial" w:eastAsia="Times New Roman" w:hAnsi="Arial" w:cs="Arial"/>
          <w:color w:val="000000" w:themeColor="text1"/>
        </w:rPr>
        <w:t xml:space="preserve">work on compelling and timely </w:t>
      </w:r>
      <w:r w:rsidRPr="00417955">
        <w:rPr>
          <w:rFonts w:ascii="Arial" w:eastAsia="Times New Roman" w:hAnsi="Arial" w:cs="Arial"/>
          <w:color w:val="000000" w:themeColor="text1"/>
        </w:rPr>
        <w:t xml:space="preserve">topics in </w:t>
      </w:r>
      <w:r w:rsidR="00C6072B" w:rsidRPr="00417955">
        <w:rPr>
          <w:rFonts w:ascii="Arial" w:eastAsia="Times New Roman" w:hAnsi="Arial" w:cs="Arial"/>
          <w:color w:val="000000" w:themeColor="text1"/>
        </w:rPr>
        <w:t>teaching</w:t>
      </w:r>
      <w:r w:rsidRPr="00417955">
        <w:rPr>
          <w:rFonts w:ascii="Arial" w:eastAsia="Times New Roman" w:hAnsi="Arial" w:cs="Arial"/>
          <w:color w:val="000000" w:themeColor="text1"/>
        </w:rPr>
        <w:t xml:space="preserve"> (e.g., Difference, Inequality, Agency: Training and Classroom Allies); (2) a Summer Teaching Institute, enrolling participants in a core skills workshop and topical sessions; and (3) </w:t>
      </w:r>
      <w:r w:rsidR="001716B5" w:rsidRPr="00417955">
        <w:rPr>
          <w:rFonts w:ascii="Arial" w:eastAsia="Times New Roman" w:hAnsi="Arial" w:cs="Arial"/>
          <w:color w:val="000000" w:themeColor="text1"/>
        </w:rPr>
        <w:t>the Science Teaching and Journal Club, a TEP partnership with the Science Literacy program focused on teaching and learning in science classrooms</w:t>
      </w:r>
      <w:r w:rsidR="00417955">
        <w:rPr>
          <w:rFonts w:ascii="Arial" w:eastAsia="Times New Roman" w:hAnsi="Arial" w:cs="Arial"/>
          <w:color w:val="000000" w:themeColor="text1"/>
        </w:rPr>
        <w:t xml:space="preserve">. </w:t>
      </w:r>
    </w:p>
    <w:p w14:paraId="0FFB6D63" w14:textId="3BA02118" w:rsidR="00372905" w:rsidRPr="00417955" w:rsidRDefault="00372905" w:rsidP="00A3535A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654FB559" w14:textId="1099A9F1" w:rsidR="00C6072B" w:rsidRPr="00417955" w:rsidRDefault="00D7284D" w:rsidP="00C6072B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17955">
        <w:rPr>
          <w:rFonts w:ascii="Arial" w:eastAsia="Times New Roman" w:hAnsi="Arial" w:cs="Arial"/>
          <w:color w:val="000000" w:themeColor="text1"/>
        </w:rPr>
        <w:t>Individual faculty and departments may consult with TEP staff to improve teaching</w:t>
      </w:r>
      <w:r w:rsidR="00A3535A" w:rsidRPr="00417955">
        <w:rPr>
          <w:rFonts w:ascii="Arial" w:eastAsia="Times New Roman" w:hAnsi="Arial" w:cs="Arial"/>
          <w:color w:val="000000" w:themeColor="text1"/>
        </w:rPr>
        <w:t xml:space="preserve"> competencies.</w:t>
      </w:r>
      <w:r w:rsidRPr="00417955">
        <w:rPr>
          <w:rFonts w:ascii="Arial" w:eastAsia="Times New Roman" w:hAnsi="Arial" w:cs="Arial"/>
          <w:color w:val="000000" w:themeColor="text1"/>
        </w:rPr>
        <w:t xml:space="preserve"> Core skills workshops </w:t>
      </w:r>
      <w:r w:rsidR="00A3535A" w:rsidRPr="00417955">
        <w:rPr>
          <w:rFonts w:ascii="Arial" w:eastAsia="Times New Roman" w:hAnsi="Arial" w:cs="Arial"/>
          <w:color w:val="000000" w:themeColor="text1"/>
        </w:rPr>
        <w:t xml:space="preserve">offered </w:t>
      </w:r>
      <w:r w:rsidRPr="00417955">
        <w:rPr>
          <w:rFonts w:ascii="Arial" w:eastAsia="Times New Roman" w:hAnsi="Arial" w:cs="Arial"/>
          <w:color w:val="000000" w:themeColor="text1"/>
        </w:rPr>
        <w:t>include Allied Course Design, Teaching Toward Inclusion and Belonging, Student Metacognition and Motivation, and Research-led Techniques that “</w:t>
      </w:r>
      <w:r w:rsidR="00A3535A" w:rsidRPr="00417955">
        <w:rPr>
          <w:rFonts w:ascii="Arial" w:eastAsia="Times New Roman" w:hAnsi="Arial" w:cs="Arial"/>
          <w:color w:val="000000" w:themeColor="text1"/>
        </w:rPr>
        <w:t>A</w:t>
      </w:r>
      <w:r w:rsidRPr="00417955">
        <w:rPr>
          <w:rFonts w:ascii="Arial" w:eastAsia="Times New Roman" w:hAnsi="Arial" w:cs="Arial"/>
          <w:color w:val="000000" w:themeColor="text1"/>
        </w:rPr>
        <w:t xml:space="preserve">ctivate” a Class. </w:t>
      </w:r>
      <w:r w:rsidR="007877B5" w:rsidRPr="00417955">
        <w:rPr>
          <w:rFonts w:ascii="Arial" w:eastAsia="Times New Roman" w:hAnsi="Arial" w:cs="Arial"/>
          <w:color w:val="000000" w:themeColor="text1"/>
        </w:rPr>
        <w:t>As part of the Graduate Teaching Initiative, g</w:t>
      </w:r>
      <w:r w:rsidR="00A3535A" w:rsidRPr="00417955">
        <w:rPr>
          <w:rFonts w:ascii="Arial" w:eastAsia="Times New Roman" w:hAnsi="Arial" w:cs="Arial"/>
          <w:color w:val="000000" w:themeColor="text1"/>
        </w:rPr>
        <w:t xml:space="preserve">raduate students </w:t>
      </w:r>
      <w:r w:rsidR="008044B6" w:rsidRPr="00417955">
        <w:rPr>
          <w:rFonts w:ascii="Arial" w:eastAsia="Times New Roman" w:hAnsi="Arial" w:cs="Arial"/>
          <w:color w:val="000000" w:themeColor="text1"/>
        </w:rPr>
        <w:t xml:space="preserve">may earn a certificate of completion </w:t>
      </w:r>
      <w:r w:rsidR="00805BB8" w:rsidRPr="00417955">
        <w:rPr>
          <w:rFonts w:ascii="Arial" w:eastAsia="Times New Roman" w:hAnsi="Arial" w:cs="Arial"/>
          <w:color w:val="000000" w:themeColor="text1"/>
        </w:rPr>
        <w:t xml:space="preserve">by </w:t>
      </w:r>
      <w:r w:rsidR="008044B6" w:rsidRPr="00417955">
        <w:rPr>
          <w:rFonts w:ascii="Arial" w:eastAsia="Times New Roman" w:hAnsi="Arial" w:cs="Arial"/>
          <w:color w:val="000000" w:themeColor="text1"/>
        </w:rPr>
        <w:t>participating in TEP Basic Teaching Skills</w:t>
      </w:r>
      <w:r w:rsidR="00805BB8" w:rsidRPr="00417955">
        <w:rPr>
          <w:rFonts w:ascii="Arial" w:eastAsia="Times New Roman" w:hAnsi="Arial" w:cs="Arial"/>
          <w:color w:val="000000" w:themeColor="text1"/>
        </w:rPr>
        <w:t xml:space="preserve"> training sessions. Graduate students and faculty who have demonstrated teaching excellence</w:t>
      </w:r>
      <w:r w:rsidR="00AF5A4A" w:rsidRPr="00417955">
        <w:rPr>
          <w:rFonts w:ascii="Arial" w:eastAsia="Times New Roman" w:hAnsi="Arial" w:cs="Arial"/>
          <w:color w:val="000000" w:themeColor="text1"/>
        </w:rPr>
        <w:t xml:space="preserve"> may receive recognition via nominations for </w:t>
      </w:r>
      <w:r w:rsidR="00805BB8" w:rsidRPr="00417955">
        <w:rPr>
          <w:rFonts w:ascii="Arial" w:eastAsia="Times New Roman" w:hAnsi="Arial" w:cs="Arial"/>
          <w:color w:val="000000" w:themeColor="text1"/>
        </w:rPr>
        <w:t xml:space="preserve">teaching award competitions coordinated by the Provost’s office.  </w:t>
      </w:r>
    </w:p>
    <w:p w14:paraId="0274FCE6" w14:textId="5D16C56A" w:rsidR="00A42886" w:rsidRPr="00417955" w:rsidRDefault="00A42886" w:rsidP="00C6072B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855511D" w14:textId="1B2BB4EE" w:rsidR="00372905" w:rsidRPr="00417955" w:rsidRDefault="00A42886" w:rsidP="00372905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17955">
        <w:rPr>
          <w:rFonts w:ascii="Arial" w:eastAsia="Times New Roman" w:hAnsi="Arial" w:cs="Arial"/>
          <w:color w:val="000000" w:themeColor="text1"/>
        </w:rPr>
        <w:lastRenderedPageBreak/>
        <w:t xml:space="preserve">TEP resources include </w:t>
      </w:r>
      <w:r w:rsidR="00561BA1" w:rsidRPr="00417955">
        <w:rPr>
          <w:rFonts w:ascii="Arial" w:eastAsia="Times New Roman" w:hAnsi="Arial" w:cs="Arial"/>
          <w:color w:val="000000" w:themeColor="text1"/>
        </w:rPr>
        <w:t xml:space="preserve">online </w:t>
      </w:r>
      <w:r w:rsidRPr="00417955">
        <w:rPr>
          <w:rFonts w:ascii="Arial" w:eastAsia="Times New Roman" w:hAnsi="Arial" w:cs="Arial"/>
          <w:color w:val="000000" w:themeColor="text1"/>
        </w:rPr>
        <w:t xml:space="preserve">frameworks for teaching excellence and inclusive teaching, teaching evaluation tools (e.g., peer review, self-reflection, student feedback), an e-newsletter spotlighting TEP events and notable scholarly and new articles, and directory of classrooms and classroom technologies across campus. All new faculty receive a TEP-produced packet on the basics of creating UO course syllabi, advice about developing student-focused learning objectives, and a list of teaching development opportunities. </w:t>
      </w:r>
    </w:p>
    <w:p w14:paraId="76C8C3BB" w14:textId="0F09E2C2" w:rsidR="00561BA1" w:rsidRPr="00417955" w:rsidRDefault="00561BA1" w:rsidP="00372905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094CEFD7" w14:textId="7296359F" w:rsidR="00561BA1" w:rsidRPr="00417955" w:rsidRDefault="00561BA1" w:rsidP="00372905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417955">
        <w:rPr>
          <w:rFonts w:ascii="Arial" w:hAnsi="Arial" w:cs="Arial"/>
          <w:color w:val="000000" w:themeColor="text1"/>
        </w:rPr>
        <w:t>The TEP demonstrates UO’s strong commitment to effective teaching and student learning.</w:t>
      </w:r>
    </w:p>
    <w:sectPr w:rsidR="00561BA1" w:rsidRPr="00417955" w:rsidSect="00B156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A441" w14:textId="77777777" w:rsidR="00867A5F" w:rsidRDefault="00867A5F" w:rsidP="002933B6">
      <w:r>
        <w:separator/>
      </w:r>
    </w:p>
  </w:endnote>
  <w:endnote w:type="continuationSeparator" w:id="0">
    <w:p w14:paraId="6BF5F511" w14:textId="77777777" w:rsidR="00867A5F" w:rsidRDefault="00867A5F" w:rsidP="002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7E7D" w14:textId="77777777" w:rsidR="00867A5F" w:rsidRDefault="00867A5F" w:rsidP="002933B6">
      <w:r>
        <w:separator/>
      </w:r>
    </w:p>
  </w:footnote>
  <w:footnote w:type="continuationSeparator" w:id="0">
    <w:p w14:paraId="61D537A9" w14:textId="77777777" w:rsidR="00867A5F" w:rsidRDefault="00867A5F" w:rsidP="0029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C1F7" w14:textId="61F2622B" w:rsidR="002933B6" w:rsidRPr="002933B6" w:rsidRDefault="002933B6">
    <w:pPr>
      <w:pStyle w:val="Header"/>
      <w:rPr>
        <w:sz w:val="21"/>
      </w:rPr>
    </w:pPr>
    <w:r w:rsidRPr="002933B6">
      <w:rPr>
        <w:sz w:val="21"/>
      </w:rPr>
      <w:t xml:space="preserve">Teaching Engagement Program </w:t>
    </w:r>
    <w:r w:rsidR="00417955">
      <w:rPr>
        <w:sz w:val="21"/>
      </w:rPr>
      <w:t>6</w:t>
    </w:r>
    <w:r w:rsidRPr="002933B6">
      <w:rPr>
        <w:sz w:val="21"/>
      </w:rPr>
      <w:t>/</w:t>
    </w:r>
    <w:r w:rsidR="00417955">
      <w:rPr>
        <w:sz w:val="21"/>
      </w:rPr>
      <w:t>2</w:t>
    </w:r>
    <w:r w:rsidRPr="002933B6">
      <w:rPr>
        <w:sz w:val="21"/>
      </w:rPr>
      <w:t>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17"/>
    <w:rsid w:val="000501C3"/>
    <w:rsid w:val="001716B5"/>
    <w:rsid w:val="00214DD0"/>
    <w:rsid w:val="002933B6"/>
    <w:rsid w:val="00354034"/>
    <w:rsid w:val="00372905"/>
    <w:rsid w:val="00417955"/>
    <w:rsid w:val="00471202"/>
    <w:rsid w:val="004941A2"/>
    <w:rsid w:val="00561BA1"/>
    <w:rsid w:val="00593885"/>
    <w:rsid w:val="006657EE"/>
    <w:rsid w:val="00674FEC"/>
    <w:rsid w:val="007877B5"/>
    <w:rsid w:val="008044B6"/>
    <w:rsid w:val="00805BB8"/>
    <w:rsid w:val="00867A5F"/>
    <w:rsid w:val="009500F3"/>
    <w:rsid w:val="00A3535A"/>
    <w:rsid w:val="00A42886"/>
    <w:rsid w:val="00AF5A4A"/>
    <w:rsid w:val="00B15649"/>
    <w:rsid w:val="00C6072B"/>
    <w:rsid w:val="00D7284D"/>
    <w:rsid w:val="00EB633A"/>
    <w:rsid w:val="00EE3217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9AED"/>
  <w15:chartTrackingRefBased/>
  <w15:docId w15:val="{A4A5E48E-9C7C-6E42-B20F-9A81F19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29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B6"/>
  </w:style>
  <w:style w:type="paragraph" w:styleId="Footer">
    <w:name w:val="footer"/>
    <w:basedOn w:val="Normal"/>
    <w:link w:val="FooterChar"/>
    <w:uiPriority w:val="99"/>
    <w:unhideWhenUsed/>
    <w:rsid w:val="0029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928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88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846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430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789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296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309">
              <w:marLeft w:val="0"/>
              <w:marRight w:val="0"/>
              <w:marTop w:val="0"/>
              <w:marBottom w:val="0"/>
              <w:divBdr>
                <w:top w:val="dashed" w:sz="6" w:space="6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615">
              <w:marLeft w:val="0"/>
              <w:marRight w:val="0"/>
              <w:marTop w:val="0"/>
              <w:marBottom w:val="0"/>
              <w:divBdr>
                <w:top w:val="dashed" w:sz="6" w:space="6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855">
              <w:marLeft w:val="0"/>
              <w:marRight w:val="0"/>
              <w:marTop w:val="0"/>
              <w:marBottom w:val="0"/>
              <w:divBdr>
                <w:top w:val="dashed" w:sz="6" w:space="6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237">
              <w:marLeft w:val="0"/>
              <w:marRight w:val="0"/>
              <w:marTop w:val="0"/>
              <w:marBottom w:val="0"/>
              <w:divBdr>
                <w:top w:val="dashed" w:sz="6" w:space="6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761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486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607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265">
                  <w:marLeft w:val="0"/>
                  <w:marRight w:val="0"/>
                  <w:marTop w:val="0"/>
                  <w:marBottom w:val="0"/>
                  <w:divBdr>
                    <w:top w:val="dashed" w:sz="6" w:space="6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2</cp:revision>
  <cp:lastPrinted>2019-05-14T23:03:00Z</cp:lastPrinted>
  <dcterms:created xsi:type="dcterms:W3CDTF">2020-06-23T22:21:00Z</dcterms:created>
  <dcterms:modified xsi:type="dcterms:W3CDTF">2020-06-23T22:21:00Z</dcterms:modified>
</cp:coreProperties>
</file>